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032"/>
      </w:tblGrid>
      <w:tr w:rsidR="005C2EC8" w:rsidRPr="00AB3E99" w14:paraId="060477CA" w14:textId="77777777" w:rsidTr="00644AD7">
        <w:trPr>
          <w:trHeight w:val="870"/>
        </w:trPr>
        <w:tc>
          <w:tcPr>
            <w:tcW w:w="6521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5B5D8C96" w:rsidR="005C2EC8" w:rsidRPr="004C5881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</w:t>
            </w:r>
            <w:r w:rsidR="00041423" w:rsidRPr="004C5881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1</w:t>
            </w:r>
            <w:r w:rsidR="00C6379A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7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041423" w:rsidRPr="004C5881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1</w:t>
            </w:r>
            <w:r w:rsidR="00C6379A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1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041423" w:rsidRPr="004C5881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008365E9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1CBD6C3E" w:rsidR="005C2EC8" w:rsidRPr="00AB3E99" w:rsidRDefault="00845288" w:rsidP="00F37365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04142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Київській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04142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січень-</w:t>
            </w:r>
            <w:r w:rsidR="00F37365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верес</w:t>
            </w:r>
            <w:r w:rsidR="0004142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ень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04142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3032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644AD7">
        <w:trPr>
          <w:trHeight w:val="1260"/>
        </w:trPr>
        <w:tc>
          <w:tcPr>
            <w:tcW w:w="6521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32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644AD7">
            <w:pPr>
              <w:pStyle w:val="--121"/>
              <w:spacing w:before="80"/>
              <w:ind w:left="-57" w:right="-57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5158CB4A" w:rsidR="005C2EC8" w:rsidRPr="002530AB" w:rsidRDefault="00845288" w:rsidP="00644AD7">
            <w:pPr>
              <w:pStyle w:val="--121"/>
              <w:spacing w:after="80"/>
              <w:ind w:left="-57" w:right="-57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644AD7">
              <w:rPr>
                <w:sz w:val="20"/>
                <w:szCs w:val="20"/>
                <w:lang w:eastAsia="uk-UA"/>
              </w:rPr>
              <w:t>Київській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7899BB37" w:rsidR="005C2EC8" w:rsidRPr="009A410E" w:rsidRDefault="005C2EC8" w:rsidP="00644AD7">
            <w:pPr>
              <w:ind w:left="-57" w:right="-57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644AD7" w:rsidRPr="00554075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kуіvobl.ukrstat.gov.ua</w:t>
            </w:r>
          </w:p>
          <w:p w14:paraId="137CB03A" w14:textId="443D06D7" w:rsidR="005C2EC8" w:rsidRPr="000802BE" w:rsidRDefault="005C2EC8" w:rsidP="00644AD7">
            <w:pPr>
              <w:ind w:left="-57" w:right="-57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hyperlink r:id="rId17" w:history="1">
              <w:r w:rsidR="00644AD7" w:rsidRPr="00554075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kous@kуіvobl.ukrstat.gov.</w:t>
              </w:r>
            </w:hyperlink>
            <w:r w:rsidR="00644AD7" w:rsidRPr="00554075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ua</w:t>
            </w:r>
          </w:p>
          <w:p w14:paraId="31816315" w14:textId="2630669F" w:rsidR="005C2EC8" w:rsidRPr="00E94112" w:rsidRDefault="005C2EC8" w:rsidP="002B4A13">
            <w:pPr>
              <w:spacing w:after="60"/>
              <w:ind w:left="-57" w:right="-57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044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486 </w:t>
            </w:r>
            <w:r w:rsidR="002B4A1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5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2B4A1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0</w:t>
            </w:r>
            <w:r w:rsidR="00644AD7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6</w:t>
            </w:r>
          </w:p>
        </w:tc>
      </w:tr>
    </w:tbl>
    <w:p w14:paraId="6EE3CC27" w14:textId="77777777" w:rsidR="00914FFE" w:rsidRPr="00644AD7" w:rsidRDefault="00914FFE" w:rsidP="00914FFE">
      <w:pPr>
        <w:pStyle w:val="--12"/>
      </w:pPr>
    </w:p>
    <w:p w14:paraId="7273F8BB" w14:textId="51244E1D" w:rsidR="00914FFE" w:rsidRPr="004C5881" w:rsidRDefault="00914FFE" w:rsidP="00914FFE">
      <w:pPr>
        <w:pStyle w:val="--12"/>
        <w:rPr>
          <w:lang w:val="ru-RU"/>
        </w:rPr>
      </w:pPr>
      <w:r w:rsidRPr="001735B4">
        <w:t xml:space="preserve">За </w:t>
      </w:r>
      <w:bookmarkStart w:id="1" w:name="OLE_LINK3"/>
      <w:r w:rsidR="00AF3101" w:rsidRPr="0028640E">
        <w:rPr>
          <w:rFonts w:ascii="Calibri" w:hAnsi="Calibri"/>
          <w:sz w:val="26"/>
        </w:rPr>
        <w:t>січень–</w:t>
      </w:r>
      <w:r w:rsidR="00F37365">
        <w:rPr>
          <w:rFonts w:ascii="Calibri" w:hAnsi="Calibri"/>
          <w:sz w:val="26"/>
        </w:rPr>
        <w:t>верес</w:t>
      </w:r>
      <w:r w:rsidR="00AF3101" w:rsidRPr="0028640E">
        <w:rPr>
          <w:rFonts w:ascii="Calibri" w:hAnsi="Calibri"/>
          <w:sz w:val="26"/>
        </w:rPr>
        <w:t>ень</w:t>
      </w:r>
      <w:r>
        <w:t xml:space="preserve"> </w:t>
      </w:r>
      <w:bookmarkEnd w:id="1"/>
      <w:r w:rsidRPr="001735B4">
        <w:t>202</w:t>
      </w:r>
      <w:r w:rsidR="00052CA5" w:rsidRPr="00052CA5">
        <w:rPr>
          <w:lang w:val="ru-RU"/>
        </w:rPr>
        <w:t>5</w:t>
      </w:r>
      <w:r w:rsidRPr="001735B4">
        <w:t xml:space="preserve">р. експорт товарів становив </w:t>
      </w:r>
      <w:r w:rsidR="00AB6E35">
        <w:rPr>
          <w:rFonts w:ascii="Calibri" w:hAnsi="Calibri"/>
          <w:sz w:val="26"/>
        </w:rPr>
        <w:t>1444</w:t>
      </w:r>
      <w:r w:rsidR="00052CA5" w:rsidRPr="0028640E">
        <w:rPr>
          <w:rFonts w:ascii="Calibri" w:hAnsi="Calibri"/>
          <w:sz w:val="26"/>
        </w:rPr>
        <w:t>,</w:t>
      </w:r>
      <w:r w:rsidR="00AB6E35">
        <w:rPr>
          <w:rFonts w:ascii="Calibri" w:hAnsi="Calibri"/>
          <w:sz w:val="26"/>
        </w:rPr>
        <w:t>1</w:t>
      </w:r>
      <w:r w:rsidR="00052CA5" w:rsidRPr="00052CA5">
        <w:rPr>
          <w:rFonts w:ascii="Calibri" w:hAnsi="Calibri"/>
          <w:sz w:val="26"/>
          <w:lang w:val="ru-RU"/>
        </w:rPr>
        <w:t xml:space="preserve"> </w:t>
      </w:r>
      <w:r w:rsidRPr="001735B4">
        <w:t>млн</w:t>
      </w:r>
      <w:r w:rsidR="002C1EEA">
        <w:t xml:space="preserve"> </w:t>
      </w:r>
      <w:proofErr w:type="spellStart"/>
      <w:r w:rsidRPr="001735B4">
        <w:t>дол</w:t>
      </w:r>
      <w:proofErr w:type="spellEnd"/>
      <w:r w:rsidRPr="001735B4">
        <w:t xml:space="preserve">. США, або </w:t>
      </w:r>
      <w:r w:rsidR="00AB6E35">
        <w:rPr>
          <w:lang w:val="ru-RU"/>
        </w:rPr>
        <w:t>99,3</w:t>
      </w:r>
      <w:r w:rsidR="00052CA5" w:rsidRPr="00052CA5">
        <w:rPr>
          <w:lang w:val="ru-RU"/>
        </w:rPr>
        <w:t xml:space="preserve"> </w:t>
      </w:r>
      <w:r w:rsidRPr="001735B4">
        <w:t xml:space="preserve">% порівняно із </w:t>
      </w:r>
      <w:r w:rsidR="00052CA5" w:rsidRPr="0028640E">
        <w:rPr>
          <w:rFonts w:ascii="Calibri" w:hAnsi="Calibri"/>
          <w:sz w:val="26"/>
        </w:rPr>
        <w:t>січнем–</w:t>
      </w:r>
      <w:r w:rsidR="00F37365">
        <w:rPr>
          <w:rFonts w:ascii="Calibri" w:hAnsi="Calibri"/>
          <w:sz w:val="26"/>
        </w:rPr>
        <w:t>верес</w:t>
      </w:r>
      <w:r w:rsidR="00052CA5" w:rsidRPr="0028640E">
        <w:rPr>
          <w:rFonts w:ascii="Calibri" w:hAnsi="Calibri"/>
          <w:sz w:val="26"/>
        </w:rPr>
        <w:t>нем</w:t>
      </w:r>
      <w:r w:rsidR="00052CA5" w:rsidRPr="001735B4">
        <w:t xml:space="preserve"> </w:t>
      </w:r>
      <w:r w:rsidRPr="001735B4">
        <w:t>202</w:t>
      </w:r>
      <w:r w:rsidR="0048202E">
        <w:t>4</w:t>
      </w:r>
      <w:r w:rsidRPr="001735B4">
        <w:t xml:space="preserve">р., імпорт – </w:t>
      </w:r>
      <w:r w:rsidR="00F37365">
        <w:rPr>
          <w:lang w:val="ru-RU"/>
        </w:rPr>
        <w:t>4497</w:t>
      </w:r>
      <w:r w:rsidR="00052CA5" w:rsidRPr="00052CA5">
        <w:rPr>
          <w:lang w:val="ru-RU"/>
        </w:rPr>
        <w:t>,</w:t>
      </w:r>
      <w:r w:rsidR="00F37365">
        <w:rPr>
          <w:lang w:val="ru-RU"/>
        </w:rPr>
        <w:t>2</w:t>
      </w:r>
      <w:r w:rsidRPr="001735B4">
        <w:t xml:space="preserve"> </w:t>
      </w:r>
      <w:r w:rsidR="002C1EEA" w:rsidRPr="001735B4">
        <w:t>млн</w:t>
      </w:r>
      <w:r w:rsidR="002C1EEA">
        <w:t xml:space="preserve"> </w:t>
      </w:r>
      <w:proofErr w:type="spellStart"/>
      <w:r w:rsidR="002C1EEA" w:rsidRPr="001735B4">
        <w:t>дол</w:t>
      </w:r>
      <w:proofErr w:type="spellEnd"/>
      <w:r w:rsidR="002C1EEA" w:rsidRPr="001735B4">
        <w:t>. США</w:t>
      </w:r>
      <w:r w:rsidRPr="001735B4">
        <w:t xml:space="preserve">, або </w:t>
      </w:r>
      <w:r w:rsidR="00052CA5" w:rsidRPr="00052CA5">
        <w:rPr>
          <w:lang w:val="ru-RU"/>
        </w:rPr>
        <w:t>114,</w:t>
      </w:r>
      <w:r w:rsidR="00F37365">
        <w:rPr>
          <w:lang w:val="ru-RU"/>
        </w:rPr>
        <w:t>6</w:t>
      </w:r>
      <w:r w:rsidRPr="001735B4">
        <w:t xml:space="preserve">%. Негативне сальдо склало </w:t>
      </w:r>
      <w:r w:rsidR="00F37365">
        <w:rPr>
          <w:lang w:val="ru-RU"/>
        </w:rPr>
        <w:t>3053</w:t>
      </w:r>
      <w:r w:rsidR="00052CA5" w:rsidRPr="00052CA5">
        <w:rPr>
          <w:lang w:val="ru-RU"/>
        </w:rPr>
        <w:t>,</w:t>
      </w:r>
      <w:r w:rsidR="00F37365">
        <w:rPr>
          <w:lang w:val="ru-RU"/>
        </w:rPr>
        <w:t>1</w:t>
      </w:r>
      <w:r>
        <w:t xml:space="preserve"> </w:t>
      </w:r>
      <w:r w:rsidR="002C1EEA" w:rsidRPr="001735B4">
        <w:t>млн</w:t>
      </w:r>
      <w:r w:rsidR="002C1EEA">
        <w:t xml:space="preserve"> </w:t>
      </w:r>
      <w:proofErr w:type="spellStart"/>
      <w:r w:rsidR="002C1EEA" w:rsidRPr="001735B4">
        <w:t>дол</w:t>
      </w:r>
      <w:proofErr w:type="spellEnd"/>
      <w:r w:rsidR="002C1EEA" w:rsidRPr="001735B4">
        <w:t xml:space="preserve">. США </w:t>
      </w:r>
      <w:r w:rsidRPr="001735B4">
        <w:t xml:space="preserve">(за </w:t>
      </w:r>
      <w:r w:rsidR="00052CA5" w:rsidRPr="0028640E">
        <w:rPr>
          <w:rFonts w:ascii="Calibri" w:hAnsi="Calibri"/>
          <w:sz w:val="26"/>
        </w:rPr>
        <w:t>січень–</w:t>
      </w:r>
      <w:r w:rsidR="00F37365">
        <w:rPr>
          <w:rFonts w:ascii="Calibri" w:hAnsi="Calibri"/>
          <w:sz w:val="26"/>
        </w:rPr>
        <w:t>верес</w:t>
      </w:r>
      <w:r w:rsidR="00052CA5" w:rsidRPr="0028640E">
        <w:rPr>
          <w:rFonts w:ascii="Calibri" w:hAnsi="Calibri"/>
          <w:sz w:val="26"/>
        </w:rPr>
        <w:t>ень</w:t>
      </w:r>
      <w:r w:rsidR="00052CA5" w:rsidRPr="001735B4">
        <w:t xml:space="preserve"> </w:t>
      </w:r>
      <w:r w:rsidRPr="001735B4">
        <w:t>202</w:t>
      </w:r>
      <w:r w:rsidR="00052CA5" w:rsidRPr="004C5881">
        <w:rPr>
          <w:lang w:val="ru-RU"/>
        </w:rPr>
        <w:t>4</w:t>
      </w:r>
      <w:r w:rsidRPr="001735B4">
        <w:t>р. також негативне –</w:t>
      </w:r>
      <w:r>
        <w:t xml:space="preserve"> </w:t>
      </w:r>
      <w:r w:rsidR="00F37365">
        <w:rPr>
          <w:lang w:val="ru-RU"/>
        </w:rPr>
        <w:t>2469</w:t>
      </w:r>
      <w:r w:rsidR="00052CA5" w:rsidRPr="004C5881">
        <w:rPr>
          <w:lang w:val="ru-RU"/>
        </w:rPr>
        <w:t>,</w:t>
      </w:r>
      <w:r w:rsidR="00F37365">
        <w:rPr>
          <w:lang w:val="ru-RU"/>
        </w:rPr>
        <w:t>7</w:t>
      </w:r>
      <w:r w:rsidR="00052CA5" w:rsidRPr="004C5881">
        <w:rPr>
          <w:lang w:val="ru-RU"/>
        </w:rPr>
        <w:t xml:space="preserve"> </w:t>
      </w:r>
      <w:r w:rsidR="002C1EEA" w:rsidRPr="001735B4">
        <w:t>млн</w:t>
      </w:r>
      <w:r w:rsidR="002C1EEA">
        <w:t xml:space="preserve"> </w:t>
      </w:r>
      <w:proofErr w:type="spellStart"/>
      <w:r w:rsidR="002C1EEA" w:rsidRPr="001735B4">
        <w:t>дол</w:t>
      </w:r>
      <w:proofErr w:type="spellEnd"/>
      <w:r w:rsidR="002C1EEA" w:rsidRPr="001735B4">
        <w:t>. США</w:t>
      </w:r>
      <w:r w:rsidRPr="001735B4">
        <w:t>).</w:t>
      </w:r>
    </w:p>
    <w:p w14:paraId="661A00E9" w14:textId="47B7864E"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052CA5">
        <w:rPr>
          <w:lang w:val="ru-RU"/>
        </w:rPr>
        <w:t>0</w:t>
      </w:r>
      <w:r w:rsidR="00052CA5" w:rsidRPr="00052CA5">
        <w:rPr>
          <w:lang w:val="ru-RU"/>
        </w:rPr>
        <w:t>,32</w:t>
      </w:r>
      <w:r w:rsidRPr="001735B4">
        <w:t xml:space="preserve"> (за </w:t>
      </w:r>
      <w:r w:rsidR="00052CA5" w:rsidRPr="00ED0A35">
        <w:rPr>
          <w:rFonts w:ascii="Calibri" w:hAnsi="Calibri"/>
          <w:sz w:val="26"/>
        </w:rPr>
        <w:t>січень–</w:t>
      </w:r>
      <w:r w:rsidR="00E814B2">
        <w:rPr>
          <w:rFonts w:ascii="Calibri" w:hAnsi="Calibri"/>
          <w:sz w:val="26"/>
        </w:rPr>
        <w:t>верес</w:t>
      </w:r>
      <w:r w:rsidR="00052CA5" w:rsidRPr="00ED0A35">
        <w:rPr>
          <w:rFonts w:ascii="Calibri" w:hAnsi="Calibri"/>
          <w:sz w:val="26"/>
        </w:rPr>
        <w:t xml:space="preserve">ень </w:t>
      </w:r>
      <w:r w:rsidRPr="00386FD7">
        <w:t>202</w:t>
      </w:r>
      <w:r w:rsidR="00052CA5" w:rsidRPr="00052CA5">
        <w:rPr>
          <w:lang w:val="ru-RU"/>
        </w:rPr>
        <w:t>4</w:t>
      </w:r>
      <w:r w:rsidRPr="00386FD7">
        <w:t xml:space="preserve">р. – </w:t>
      </w:r>
      <w:r w:rsidR="00052CA5" w:rsidRPr="00052CA5">
        <w:rPr>
          <w:lang w:val="ru-RU"/>
        </w:rPr>
        <w:t>0,37</w:t>
      </w:r>
      <w:r w:rsidRPr="006D3772">
        <w:t xml:space="preserve">). </w:t>
      </w:r>
    </w:p>
    <w:p w14:paraId="0EA1E8E7" w14:textId="6C6C8DCF"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052CA5" w:rsidRPr="00052CA5">
        <w:rPr>
          <w:lang w:val="ru-RU"/>
        </w:rPr>
        <w:t>1</w:t>
      </w:r>
      <w:r w:rsidR="00BA69D9">
        <w:rPr>
          <w:lang w:val="ru-RU"/>
        </w:rPr>
        <w:t>71</w:t>
      </w:r>
      <w:r w:rsidRPr="00D63B4B">
        <w:t xml:space="preserve"> країн</w:t>
      </w:r>
      <w:r w:rsidR="00BA69D9">
        <w:t>и</w:t>
      </w:r>
      <w:r w:rsidRPr="006D3772">
        <w:t xml:space="preserve"> світу.</w:t>
      </w:r>
    </w:p>
    <w:p w14:paraId="74709BDD" w14:textId="77777777"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Default="00914FFE" w:rsidP="00914FFE">
      <w:pPr>
        <w:jc w:val="center"/>
        <w:rPr>
          <w:b/>
          <w:sz w:val="20"/>
          <w:szCs w:val="20"/>
        </w:rPr>
        <w:sectPr w:rsidR="00914FFE" w:rsidSect="00914FFE">
          <w:footerReference w:type="even" r:id="rId19"/>
          <w:footerReference w:type="default" r:id="rId20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експорту товарів</w:t>
      </w:r>
    </w:p>
    <w:p w14:paraId="2B4F5923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93AAF94" w14:textId="70DA3119" w:rsidR="00914FFE" w:rsidRDefault="00914FFE" w:rsidP="001A6F9B">
      <w:pPr>
        <w:jc w:val="center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DD4E1F">
        <w:rPr>
          <w:noProof/>
          <w:lang w:eastAsia="uk-UA"/>
          <w14:ligatures w14:val="standardContextual"/>
        </w:rPr>
        <w:drawing>
          <wp:inline distT="0" distB="0" distL="0" distR="0" wp14:anchorId="585C2B13" wp14:editId="6A01BA90">
            <wp:extent cx="2834640" cy="1889760"/>
            <wp:effectExtent l="0" t="0" r="3810" b="0"/>
            <wp:docPr id="5" name="Диаграмма 5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BAB1205F-B2C4-E34F-B464-A51B9C9B0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6EA93BAD" w14:textId="38DC43B3" w:rsidR="00914FFE" w:rsidRDefault="00914FFE" w:rsidP="004047F7">
      <w:pPr>
        <w:jc w:val="center"/>
        <w:rPr>
          <w:sz w:val="26"/>
          <w:szCs w:val="26"/>
        </w:rPr>
        <w:sectPr w:rsidR="00914FFE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  <w:r w:rsidR="004047F7">
        <w:rPr>
          <w:noProof/>
          <w:lang w:eastAsia="uk-UA"/>
          <w14:ligatures w14:val="standardContextual"/>
        </w:rPr>
        <w:drawing>
          <wp:inline distT="0" distB="0" distL="0" distR="0" wp14:anchorId="7EFDD3FB" wp14:editId="5FADE3B8">
            <wp:extent cx="2834640" cy="1920240"/>
            <wp:effectExtent l="0" t="0" r="3810" b="3810"/>
            <wp:docPr id="3" name="Диаграмма 3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bookmarkEnd w:id="2"/>
    </w:p>
    <w:p w14:paraId="6D635322" w14:textId="54F54315" w:rsidR="00914FFE" w:rsidRPr="00287D35" w:rsidRDefault="00914FFE" w:rsidP="00914FFE">
      <w:pPr>
        <w:pStyle w:val="--12"/>
      </w:pPr>
      <w:r w:rsidRPr="00287D35">
        <w:t>Більше інформації щодо географічної</w:t>
      </w:r>
      <w:r w:rsidR="00BE2083">
        <w:t xml:space="preserve"> та</w:t>
      </w:r>
      <w:r w:rsidRPr="00287D35">
        <w:t xml:space="preserve"> товарної структури зовнішньої </w:t>
      </w:r>
      <w:r w:rsidRPr="00F274F3">
        <w:t>торгівлі 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C3D3007" w14:textId="574B66EC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</w:t>
      </w:r>
      <w:r w:rsidRPr="001347D1">
        <w:lastRenderedPageBreak/>
        <w:t xml:space="preserve">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AB6E35" w:rsidP="00914FFE">
      <w:pPr>
        <w:pStyle w:val="--121"/>
      </w:pPr>
      <w:hyperlink r:id="rId23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1347D1">
        <w:t>середньоквартальним</w:t>
      </w:r>
      <w:proofErr w:type="spellEnd"/>
      <w:r w:rsidRPr="001347D1">
        <w:t xml:space="preserve">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4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45985B11" w14:textId="176A6E1F" w:rsidR="00A36402" w:rsidRDefault="00A36402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33C21E" w14:textId="5E2DC3D6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72D678" w14:textId="06607F4A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AA5D2" w14:textId="1B85CB6F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8053199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A4C791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2CD941B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B7D79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ED627B3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8BDDD31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DB4823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6B4E6A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0AC2156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687982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E463E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D8C7E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795A27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B8492C3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7FF21C6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BF8816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4A80F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4008C9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B9DEFD7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070FBA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AF33FE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E6E84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695BC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F2004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00DB8F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BF3F94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AE1990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17992F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5C5AE4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17CD39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28C8DE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AEB93A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04B1FA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2C775E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EC5027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CBBD82" w14:textId="77777777" w:rsidR="00F80AFF" w:rsidRDefault="00F80AF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E0911E" w14:textId="0EE5E36C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AF4181" w14:textId="6B6F9B19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C07CAC" w14:textId="10E0A75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433E371" w14:textId="25E4954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AB6E35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0412A401" w:rsidR="00A36402" w:rsidRPr="002922A6" w:rsidRDefault="00A36402" w:rsidP="002922A6">
            <w:pPr>
              <w:pStyle w:val="--121"/>
              <w:rPr>
                <w:lang w:eastAsia="uk-UA"/>
              </w:rPr>
            </w:pPr>
            <w:r w:rsidRPr="002922A6">
              <w:rPr>
                <w:lang w:eastAsia="uk-UA"/>
              </w:rPr>
              <w:t xml:space="preserve">Довідка: </w:t>
            </w:r>
            <w:proofErr w:type="spellStart"/>
            <w:r w:rsidRPr="002922A6">
              <w:rPr>
                <w:lang w:eastAsia="uk-UA"/>
              </w:rPr>
              <w:t>тел</w:t>
            </w:r>
            <w:proofErr w:type="spellEnd"/>
            <w:r w:rsidRPr="002922A6">
              <w:rPr>
                <w:lang w:eastAsia="uk-UA"/>
              </w:rPr>
              <w:t xml:space="preserve">. </w:t>
            </w:r>
            <w:r w:rsidR="00050E7F" w:rsidRPr="00050E7F">
              <w:rPr>
                <w:lang w:eastAsia="uk-UA"/>
              </w:rPr>
              <w:t>+38 (044) 486 16 26</w:t>
            </w:r>
          </w:p>
          <w:p w14:paraId="77D210C2" w14:textId="1D385DF2" w:rsidR="00A36402" w:rsidRPr="002922A6" w:rsidRDefault="00A36402" w:rsidP="002922A6">
            <w:pPr>
              <w:pStyle w:val="--121"/>
              <w:rPr>
                <w:lang w:eastAsia="uk-UA"/>
              </w:rPr>
            </w:pPr>
            <w:r w:rsidRPr="002922A6">
              <w:rPr>
                <w:lang w:eastAsia="uk-UA"/>
              </w:rPr>
              <w:t xml:space="preserve"> Більше інформації: </w:t>
            </w:r>
          </w:p>
          <w:p w14:paraId="52587944" w14:textId="379735CB" w:rsidR="00A36402" w:rsidRPr="005E0CF1" w:rsidRDefault="00A36402" w:rsidP="003B1B8A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2922A6">
              <w:rPr>
                <w:lang w:eastAsia="uk-UA"/>
              </w:rPr>
              <w:t>© Головне управління статистики у</w:t>
            </w:r>
            <w:r w:rsidR="00874357" w:rsidRPr="00874357">
              <w:rPr>
                <w:lang w:val="ru-RU" w:eastAsia="uk-UA"/>
              </w:rPr>
              <w:t xml:space="preserve"> </w:t>
            </w:r>
            <w:r w:rsidR="00874357">
              <w:rPr>
                <w:lang w:eastAsia="uk-UA"/>
              </w:rPr>
              <w:t>Київській</w:t>
            </w:r>
            <w:r w:rsidRPr="002922A6">
              <w:rPr>
                <w:lang w:eastAsia="uk-UA"/>
              </w:rPr>
              <w:t xml:space="preserve"> області, 2025</w:t>
            </w:r>
          </w:p>
        </w:tc>
      </w:tr>
    </w:tbl>
    <w:p w14:paraId="38E5ACE7" w14:textId="169D6C2A" w:rsidR="001761BA" w:rsidRPr="00ED75A4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150C460D" w14:textId="034738D6" w:rsidR="001761BA" w:rsidRPr="00D20ED1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1A5588">
        <w:rPr>
          <w:rFonts w:asciiTheme="minorHAnsi" w:hAnsiTheme="minorHAnsi" w:cstheme="minorHAnsi"/>
          <w:b/>
          <w:color w:val="DB9528"/>
          <w:sz w:val="26"/>
          <w:szCs w:val="26"/>
        </w:rPr>
        <w:t>січні</w:t>
      </w:r>
      <w:r w:rsidR="00261C81" w:rsidRPr="00261C81">
        <w:rPr>
          <w:rFonts w:asciiTheme="minorHAnsi" w:hAnsiTheme="minorHAnsi" w:cstheme="minorHAnsi"/>
          <w:b/>
          <w:color w:val="DB9528"/>
          <w:sz w:val="26"/>
          <w:szCs w:val="26"/>
        </w:rPr>
        <w:t>–</w:t>
      </w:r>
      <w:r w:rsidR="00F1209A">
        <w:rPr>
          <w:rFonts w:asciiTheme="minorHAnsi" w:hAnsiTheme="minorHAnsi" w:cstheme="minorHAnsi"/>
          <w:b/>
          <w:color w:val="DB9528"/>
          <w:sz w:val="26"/>
          <w:szCs w:val="26"/>
        </w:rPr>
        <w:t>верес</w:t>
      </w:r>
      <w:r w:rsidR="001A5588">
        <w:rPr>
          <w:rFonts w:asciiTheme="minorHAnsi" w:hAnsiTheme="minorHAnsi" w:cstheme="minorHAnsi"/>
          <w:b/>
          <w:color w:val="DB9528"/>
          <w:sz w:val="26"/>
          <w:szCs w:val="26"/>
        </w:rPr>
        <w:t>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9979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028"/>
        <w:gridCol w:w="995"/>
        <w:gridCol w:w="1092"/>
        <w:gridCol w:w="978"/>
        <w:gridCol w:w="1018"/>
        <w:gridCol w:w="1049"/>
        <w:gridCol w:w="997"/>
      </w:tblGrid>
      <w:tr w:rsidR="001761BA" w:rsidRPr="00F310EE" w14:paraId="7CE4F434" w14:textId="77777777" w:rsidTr="00943234">
        <w:trPr>
          <w:trHeight w:val="57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14:paraId="6E446436" w14:textId="77777777" w:rsidR="001761BA" w:rsidRPr="00D448B4" w:rsidRDefault="001761BA" w:rsidP="00943234">
            <w:pPr>
              <w:spacing w:line="240" w:lineRule="exac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115" w:type="dxa"/>
            <w:gridSpan w:val="3"/>
            <w:shd w:val="clear" w:color="auto" w:fill="DDEEFE"/>
            <w:vAlign w:val="center"/>
          </w:tcPr>
          <w:p w14:paraId="50C56154" w14:textId="77777777" w:rsidR="001761BA" w:rsidRPr="00D448B4" w:rsidRDefault="001761BA" w:rsidP="00943234">
            <w:pPr>
              <w:spacing w:line="24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045" w:type="dxa"/>
            <w:gridSpan w:val="3"/>
            <w:shd w:val="clear" w:color="auto" w:fill="DDEEFE"/>
            <w:vAlign w:val="center"/>
          </w:tcPr>
          <w:p w14:paraId="3F33BB24" w14:textId="77777777" w:rsidR="001761BA" w:rsidRPr="00D448B4" w:rsidRDefault="001761BA" w:rsidP="00943234">
            <w:pPr>
              <w:spacing w:line="24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997" w:type="dxa"/>
            <w:vMerge w:val="restart"/>
            <w:shd w:val="clear" w:color="auto" w:fill="DDEEFE"/>
            <w:vAlign w:val="center"/>
          </w:tcPr>
          <w:p w14:paraId="3E9F35EF" w14:textId="77777777" w:rsidR="001761BA" w:rsidRPr="00D448B4" w:rsidRDefault="001761BA" w:rsidP="00AB6E35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F310EE" w14:paraId="4A4D183D" w14:textId="77777777" w:rsidTr="00584E9D">
        <w:trPr>
          <w:trHeight w:val="170"/>
        </w:trPr>
        <w:tc>
          <w:tcPr>
            <w:tcW w:w="2822" w:type="dxa"/>
            <w:vMerge/>
            <w:vAlign w:val="bottom"/>
          </w:tcPr>
          <w:p w14:paraId="76795BAF" w14:textId="77777777" w:rsidR="00C5231A" w:rsidRPr="00D448B4" w:rsidRDefault="00C5231A" w:rsidP="00943234">
            <w:pPr>
              <w:spacing w:line="240" w:lineRule="exac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28BF3EE3" w14:textId="7418F728" w:rsidR="00C5231A" w:rsidRPr="00D448B4" w:rsidRDefault="00C5231A" w:rsidP="00943234">
            <w:pPr>
              <w:spacing w:line="24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 w:rsidR="002C1EE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5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BDC5D1C" w14:textId="5749DA8B" w:rsidR="00C5231A" w:rsidRPr="00D448B4" w:rsidRDefault="00C5231A" w:rsidP="00584E9D">
            <w:pPr>
              <w:spacing w:line="24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6C4CDD"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 w:rsidR="00584E9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</w:t>
            </w:r>
            <w:r w:rsidR="006C4CDD"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6C4CD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5FECE26C" w14:textId="77777777" w:rsidR="00C5231A" w:rsidRPr="00D448B4" w:rsidRDefault="00C5231A" w:rsidP="00943234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DB72E9D" w14:textId="77777777" w:rsidR="00C5231A" w:rsidRPr="00D448B4" w:rsidRDefault="00C5231A" w:rsidP="00943234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7840DA9" w14:textId="77777777" w:rsidR="00C5231A" w:rsidRPr="00D448B4" w:rsidRDefault="00C5231A" w:rsidP="00943234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8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00CD0F4" w14:textId="7CCEA593" w:rsidR="00C5231A" w:rsidRPr="00D448B4" w:rsidRDefault="00C5231A" w:rsidP="00943234">
            <w:pPr>
              <w:spacing w:line="240" w:lineRule="exact"/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 w:rsidR="002C1EE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018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6B90232" w14:textId="6327CEAF" w:rsidR="00C5231A" w:rsidRPr="00D448B4" w:rsidRDefault="006F5DD5" w:rsidP="00584E9D">
            <w:pPr>
              <w:spacing w:line="240" w:lineRule="exact"/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 w:rsidR="00584E9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49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2962509" w14:textId="77777777" w:rsidR="00C5231A" w:rsidRPr="00D448B4" w:rsidRDefault="00C5231A" w:rsidP="00943234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517A130" w14:textId="77777777" w:rsidR="00C5231A" w:rsidRPr="00D448B4" w:rsidRDefault="00C5231A" w:rsidP="00943234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8F7CE3" w14:textId="77777777" w:rsidR="00C5231A" w:rsidRPr="00D448B4" w:rsidRDefault="00C5231A" w:rsidP="00943234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7" w:type="dxa"/>
            <w:vMerge/>
            <w:tcBorders>
              <w:bottom w:val="single" w:sz="4" w:space="0" w:color="2F5496" w:themeColor="accent1" w:themeShade="BF"/>
            </w:tcBorders>
            <w:vAlign w:val="center"/>
          </w:tcPr>
          <w:p w14:paraId="09B6F120" w14:textId="77777777" w:rsidR="00C5231A" w:rsidRPr="00D448B4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4730D5" w:rsidRPr="00F310EE" w14:paraId="48A21276" w14:textId="77777777" w:rsidTr="00943234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AA7BE2C" w14:textId="77777777" w:rsidR="004730D5" w:rsidRPr="00D448B4" w:rsidRDefault="004730D5" w:rsidP="00943234">
            <w:pPr>
              <w:spacing w:line="240" w:lineRule="exac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0374193" w14:textId="03F06F4A" w:rsidR="004730D5" w:rsidRPr="004A0B62" w:rsidRDefault="004730D5" w:rsidP="00943234">
            <w:pPr>
              <w:spacing w:line="240" w:lineRule="exact"/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4A0B62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1444,1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2DB88F5" w14:textId="39EA0F7D" w:rsidR="004730D5" w:rsidRPr="004A0B62" w:rsidRDefault="004730D5" w:rsidP="00943234">
            <w:pPr>
              <w:spacing w:line="240" w:lineRule="exact"/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4A0B62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99,3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B21EFB3" w14:textId="63610009" w:rsidR="004730D5" w:rsidRPr="004A0B62" w:rsidRDefault="004730D5" w:rsidP="00943234">
            <w:pPr>
              <w:spacing w:line="240" w:lineRule="exact"/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4A0B62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FF597EB" w14:textId="1B4B331C" w:rsidR="004730D5" w:rsidRPr="004A0B62" w:rsidRDefault="004730D5" w:rsidP="00943234">
            <w:pPr>
              <w:spacing w:line="240" w:lineRule="exact"/>
              <w:ind w:left="-53" w:hanging="43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4A0B62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4497,2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D1EFCE" w14:textId="2EF48AD8" w:rsidR="004730D5" w:rsidRPr="004A0B62" w:rsidRDefault="004730D5" w:rsidP="00943234">
            <w:pPr>
              <w:spacing w:line="240" w:lineRule="exact"/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4A0B62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114,6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FE99F14" w14:textId="767F59DB" w:rsidR="004730D5" w:rsidRPr="004A0B62" w:rsidRDefault="004730D5" w:rsidP="00943234">
            <w:pPr>
              <w:spacing w:line="240" w:lineRule="exact"/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4A0B62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088BC05" w14:textId="6A81CC25" w:rsidR="004730D5" w:rsidRPr="004A0B62" w:rsidRDefault="004A0B62" w:rsidP="00943234">
            <w:pPr>
              <w:spacing w:line="240" w:lineRule="exact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–</w:t>
            </w:r>
            <w:r w:rsidR="004730D5" w:rsidRPr="004A0B62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3053,1</w:t>
            </w:r>
          </w:p>
        </w:tc>
      </w:tr>
      <w:tr w:rsidR="00C5231A" w:rsidRPr="00F310EE" w14:paraId="258BC1CD" w14:textId="77777777" w:rsidTr="00943234">
        <w:trPr>
          <w:trHeight w:hRule="exact" w:val="255"/>
        </w:trPr>
        <w:tc>
          <w:tcPr>
            <w:tcW w:w="2822" w:type="dxa"/>
            <w:vAlign w:val="bottom"/>
          </w:tcPr>
          <w:p w14:paraId="0CAB2272" w14:textId="77777777" w:rsidR="00C5231A" w:rsidRPr="00D448B4" w:rsidRDefault="00C5231A" w:rsidP="00943234">
            <w:pPr>
              <w:spacing w:line="240" w:lineRule="exact"/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vAlign w:val="bottom"/>
          </w:tcPr>
          <w:p w14:paraId="1C552045" w14:textId="77777777" w:rsidR="00C5231A" w:rsidRPr="005562DA" w:rsidRDefault="00C5231A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vAlign w:val="bottom"/>
          </w:tcPr>
          <w:p w14:paraId="08C3BB08" w14:textId="77777777" w:rsidR="00C5231A" w:rsidRPr="005562DA" w:rsidRDefault="00C5231A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vAlign w:val="bottom"/>
          </w:tcPr>
          <w:p w14:paraId="57EACBB7" w14:textId="77777777" w:rsidR="00C5231A" w:rsidRPr="005562DA" w:rsidRDefault="00C5231A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vAlign w:val="bottom"/>
          </w:tcPr>
          <w:p w14:paraId="659612F4" w14:textId="77777777" w:rsidR="00C5231A" w:rsidRPr="005562DA" w:rsidRDefault="00C5231A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vAlign w:val="bottom"/>
          </w:tcPr>
          <w:p w14:paraId="496214EC" w14:textId="77777777" w:rsidR="00C5231A" w:rsidRPr="005562DA" w:rsidRDefault="00C5231A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vAlign w:val="bottom"/>
          </w:tcPr>
          <w:p w14:paraId="52C98C5B" w14:textId="77777777" w:rsidR="00C5231A" w:rsidRPr="005562DA" w:rsidRDefault="00C5231A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  <w:vAlign w:val="bottom"/>
          </w:tcPr>
          <w:p w14:paraId="191A6B1C" w14:textId="77777777" w:rsidR="00C5231A" w:rsidRPr="005562DA" w:rsidRDefault="00C5231A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4730D5" w:rsidRPr="00F310EE" w14:paraId="1182A006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D96AAE3" w14:textId="77777777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826C95E" w14:textId="28E3ECF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14,5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307DB37" w14:textId="4B067BD3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93,1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718C11" w14:textId="52C91B0D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2176621" w14:textId="081FB3EB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37,8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6B5E6DE" w14:textId="4345EAF4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83,3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66952F" w14:textId="6C536F66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0,8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976114E" w14:textId="570C6D81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23,3</w:t>
            </w:r>
          </w:p>
        </w:tc>
      </w:tr>
      <w:tr w:rsidR="004730D5" w:rsidRPr="00F310EE" w14:paraId="5454D307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E174E92" w14:textId="03A6ECA4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Азербайджан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2DEE7D" w14:textId="1DEAAA43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022F4C6" w14:textId="4E9289C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77,2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8150EB9" w14:textId="66BC9565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E28AED" w14:textId="6BBC386D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8,4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FF87705" w14:textId="2ECDADA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97,4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9FADB40" w14:textId="238BA37B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7B9F766" w14:textId="3F0B67EC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1,0</w:t>
            </w:r>
          </w:p>
        </w:tc>
      </w:tr>
      <w:tr w:rsidR="004730D5" w:rsidRPr="00F310EE" w14:paraId="256DF4BA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BDCF2F1" w14:textId="35D112CA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60E1EA" w14:textId="339E921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DC7AA19" w14:textId="65574F86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88,3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FD53DA0" w14:textId="6192B95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2A9F3F8" w14:textId="54DD53DD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4,3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0170EB" w14:textId="49E7188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77,4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55E314" w14:textId="41A4EBAE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F54BE8" w14:textId="6EF2369E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11,1</w:t>
            </w:r>
          </w:p>
        </w:tc>
      </w:tr>
      <w:tr w:rsidR="004730D5" w:rsidRPr="00F310EE" w14:paraId="282F4626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3FDF0EFF" w14:textId="30CAA69A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4F21AE" w14:textId="5D264561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CBF045" w14:textId="20408F5A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78,8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CD5BD0" w14:textId="67C845DC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1,9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047FEBF" w14:textId="092D04C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53,9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504CA77" w14:textId="1F1D29CD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97,5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D81257" w14:textId="3CD9595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448F02" w14:textId="14E9F5F0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27,2</w:t>
            </w:r>
          </w:p>
        </w:tc>
      </w:tr>
      <w:tr w:rsidR="004730D5" w:rsidRPr="00F310EE" w14:paraId="17D4D72F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68AAE45" w14:textId="696625E7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4C907E" w14:textId="7053D66B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4FFC54" w14:textId="5B55BF21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53,1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8FF216" w14:textId="0392435D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1,3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1473274" w14:textId="1D2EE941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32,5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367344E" w14:textId="2BB72B5F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90,9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4E5599" w14:textId="2D079D4D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D36BBF0" w14:textId="24F31252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13,1</w:t>
            </w:r>
          </w:p>
        </w:tc>
      </w:tr>
      <w:tr w:rsidR="004730D5" w:rsidRPr="00F310EE" w14:paraId="0933872F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35CF2612" w14:textId="0EC90575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F454E8" w14:textId="2BA09BA3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45,4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6A365A" w14:textId="4B7F8545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287,3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B3EE03" w14:textId="762885B9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BEE8B1" w14:textId="0B9F0C5C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32,9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F1B507" w14:textId="6FA9EC8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157,2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9BAA882" w14:textId="64E3DF5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DF4A55" w14:textId="14FC06D1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12,5</w:t>
            </w:r>
          </w:p>
        </w:tc>
      </w:tr>
      <w:tr w:rsidR="004730D5" w:rsidRPr="00041825" w14:paraId="30018474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84F985B" w14:textId="50E31A9E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В’єтнам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0947FFF" w14:textId="239E3D3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FF4889" w14:textId="089F572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240,9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8E5CA6" w14:textId="63DF236C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0,8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8544F0" w14:textId="025EBF2E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B295F6" w14:textId="07D8EC21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133,3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C2FD20F" w14:textId="27E76C1C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9A8588" w14:textId="10FB296D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3,6</w:t>
            </w:r>
          </w:p>
        </w:tc>
      </w:tr>
      <w:tr w:rsidR="004730D5" w:rsidRPr="00F310EE" w14:paraId="3E059B50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17BA027" w14:textId="3380F352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EBBD17C" w14:textId="36BEC71B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60494E" w14:textId="4FE92303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96,1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6E90535" w14:textId="3DF0F984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79B438" w14:textId="60A1051B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03ACD3" w14:textId="1C4DD9F1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52,0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409E462" w14:textId="71AEB310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8B5341" w14:textId="1E22184D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4,5</w:t>
            </w:r>
          </w:p>
        </w:tc>
      </w:tr>
      <w:tr w:rsidR="004730D5" w:rsidRPr="00F310EE" w14:paraId="10CC9EE8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FFF2778" w14:textId="7503550C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9A186A" w14:textId="7E9D0C5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4A74A9C" w14:textId="69EF7504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130,7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0E6340A" w14:textId="22690DC5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6736A8" w14:textId="334206F3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A88866" w14:textId="07115D9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156,3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8581D4" w14:textId="40401E02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D27483" w14:textId="76CBF662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10,1</w:t>
            </w:r>
          </w:p>
        </w:tc>
      </w:tr>
      <w:tr w:rsidR="004730D5" w:rsidRPr="00F310EE" w14:paraId="7476EACA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10B0D04" w14:textId="1BE29969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FF429F" w14:textId="09B80EA2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6,2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ABA460" w14:textId="7516083B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113,4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CDF62E" w14:textId="6946C62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6A0D90" w14:textId="5B2CB6C9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24,2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9738C2" w14:textId="5D6D1715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137,3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69569A" w14:textId="3D1B6735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2C098B" w14:textId="491DC6F3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18,0</w:t>
            </w:r>
          </w:p>
        </w:tc>
      </w:tr>
      <w:tr w:rsidR="004730D5" w:rsidRPr="00F310EE" w14:paraId="27EA9B9E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217E281" w14:textId="5F2401EC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Еквадор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95960FB" w14:textId="14637E82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4EA493D" w14:textId="47F9026A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12,6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B086AA5" w14:textId="36DE7766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F032B5" w14:textId="0F974432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32,0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5D5F97B" w14:textId="391FF839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123,7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D0D893" w14:textId="1A82762E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1140AA" w14:textId="68390A9B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31,6</w:t>
            </w:r>
          </w:p>
        </w:tc>
      </w:tr>
      <w:tr w:rsidR="004730D5" w:rsidRPr="00F310EE" w14:paraId="029AEC27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2700531F" w14:textId="036A9E18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28195EA" w14:textId="074E8A1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62,7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061210D" w14:textId="6B146919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93,4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3DD0E8" w14:textId="0910CEA2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4,3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841E50" w14:textId="64D3DBB7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22,5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8BA839" w14:textId="2EA0E48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152,8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C15F48" w14:textId="6D6C0235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713F6C" w14:textId="639D8C0F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40,2</w:t>
            </w:r>
          </w:p>
        </w:tc>
      </w:tr>
      <w:tr w:rsidR="004730D5" w:rsidRPr="00F310EE" w14:paraId="4C51245F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9A5F328" w14:textId="2C3FACA7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Iндiя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6E327A" w14:textId="15A1B9AF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6,9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935034" w14:textId="785D3E9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33,5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278CB95" w14:textId="2C374D1F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26F428" w14:textId="60967A7F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70,4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471AB5A" w14:textId="07E64AFC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112,5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7C7693E" w14:textId="28D747CA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1,6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1D6FA6" w14:textId="3B16CD0B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63,5</w:t>
            </w:r>
          </w:p>
        </w:tc>
      </w:tr>
      <w:tr w:rsidR="004730D5" w:rsidRPr="00F310EE" w14:paraId="5AE94BC4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D691855" w14:textId="21CF4368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Ірландія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3D77C93" w14:textId="59D9BDBB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CD2EB72" w14:textId="11509A16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38,6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9F384E" w14:textId="5C33E7BA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3FAB2E" w14:textId="4E4DAB14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15,8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296C8F2" w14:textId="14A8F64F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104,9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DA7D677" w14:textId="30FDF896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DB5218" w14:textId="43A1FA61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15,4</w:t>
            </w:r>
          </w:p>
        </w:tc>
      </w:tr>
      <w:tr w:rsidR="004730D5" w:rsidRPr="00F310EE" w14:paraId="424B820A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637C87F" w14:textId="2759C439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Iспанiя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138627" w14:textId="3268A743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55,3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0E7417" w14:textId="73E588E2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52,8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885BBC" w14:textId="47C1343F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3,8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344324" w14:textId="59FE2F53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43,3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00A20E" w14:textId="076A6636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116,1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F55D518" w14:textId="17DFDE0A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ADCC3AC" w14:textId="0255F6DC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12,0</w:t>
            </w:r>
          </w:p>
        </w:tc>
      </w:tr>
      <w:tr w:rsidR="004730D5" w:rsidRPr="00F310EE" w14:paraId="520FF0DF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189E0264" w14:textId="39C99793" w:rsidR="004730D5" w:rsidRPr="00D448B4" w:rsidRDefault="004730D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Iталiя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0CE7007" w14:textId="36EC0581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66,3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AC6AC7" w14:textId="179BE675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133,0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890A8C" w14:textId="52E4D0A6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4,6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6648F5" w14:textId="2F254859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128,5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09A1A6" w14:textId="44554238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123,7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8B602C" w14:textId="15DA278D" w:rsidR="004730D5" w:rsidRPr="005562DA" w:rsidRDefault="004730D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2,9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F5216C" w14:textId="3B378925" w:rsidR="004730D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4730D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62,1</w:t>
            </w:r>
          </w:p>
        </w:tc>
      </w:tr>
      <w:tr w:rsidR="00BB2BE8" w:rsidRPr="00F310EE" w14:paraId="263D1548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1B70FABD" w14:textId="05C8A637" w:rsidR="00BB2BE8" w:rsidRPr="00D448B4" w:rsidRDefault="00BB2BE8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4FE3D3" w14:textId="6C9ACE11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0,9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E3F437" w14:textId="09E050A0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351,2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31C9E4C" w14:textId="7D81B3B5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F1ABEA" w14:textId="73D81FAF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22,5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5D15D6" w14:textId="4544835F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138,7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1B86D0" w14:textId="7070A4A8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A0FABC2" w14:textId="5FB232C7" w:rsidR="00BB2BE8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BB2BE8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21,6</w:t>
            </w:r>
          </w:p>
        </w:tc>
      </w:tr>
      <w:tr w:rsidR="00BB2BE8" w:rsidRPr="00F310EE" w14:paraId="4D60C6DB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6022164" w14:textId="7D9D4E37" w:rsidR="00BB2BE8" w:rsidRPr="00D448B4" w:rsidRDefault="00BB2BE8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Казахстан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C7AD08" w14:textId="6E861F5E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17,0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45CC1E" w14:textId="2A6E5694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123,9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5B48E4B" w14:textId="65FC484D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C37C3B" w14:textId="1A6E9854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7,9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881CAFC" w14:textId="1FD686A4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31,1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550095" w14:textId="03F7F6EE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044891" w14:textId="5AC8C886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9,1</w:t>
            </w:r>
          </w:p>
        </w:tc>
      </w:tr>
      <w:tr w:rsidR="00BB2BE8" w:rsidRPr="00F310EE" w14:paraId="5F0D0F33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6C727C5C" w14:textId="16CE83B4" w:rsidR="00BB2BE8" w:rsidRPr="00D448B4" w:rsidRDefault="00BB2BE8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19C18A" w14:textId="63C1A221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22CF89" w14:textId="1675C9F2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82,6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806CBF" w14:textId="3FD1095A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DD8BB26" w14:textId="5160A3A0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17,9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905986" w14:textId="03721A7A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157,9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2C756C7" w14:textId="4B6E7CA2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58D5C1" w14:textId="512C8E28" w:rsidR="00BB2BE8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BB2BE8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16,2</w:t>
            </w:r>
          </w:p>
        </w:tc>
      </w:tr>
      <w:tr w:rsidR="00BB2BE8" w:rsidRPr="00F310EE" w14:paraId="0C436E50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2401608C" w14:textId="0B9F3D47" w:rsidR="00BB2BE8" w:rsidRPr="00D448B4" w:rsidRDefault="00BB2BE8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E19454" w14:textId="48424466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16,5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0044091" w14:textId="3146C8BC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27,9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E2DE3A7" w14:textId="038F994F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1834380" w14:textId="36F92A57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868,4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C16A6F" w14:textId="0FDA1FC1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128,3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1CCB23" w14:textId="3E00E1EA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19,3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A9DB01" w14:textId="52BAA2D1" w:rsidR="00BB2BE8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BB2BE8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851,9</w:t>
            </w:r>
          </w:p>
        </w:tc>
      </w:tr>
      <w:tr w:rsidR="00BB2BE8" w:rsidRPr="00F310EE" w14:paraId="2B394F9B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2A78B271" w14:textId="1B6955CD" w:rsidR="00BB2BE8" w:rsidRPr="00D448B4" w:rsidRDefault="00BB2BE8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Кот-Д’Івуар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6257EA" w14:textId="4CFF376A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ED3950F" w14:textId="75FDCEB9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159,7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0A2D67" w14:textId="24F07AA8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F7C90CD" w14:textId="389E44CA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8CBCDC8" w14:textId="2AC1D758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111,3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DA24C2C" w14:textId="696F1C44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50F7A5" w14:textId="264D6FC5" w:rsidR="00BB2BE8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BB2BE8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16,3</w:t>
            </w:r>
          </w:p>
        </w:tc>
      </w:tr>
      <w:tr w:rsidR="00BB2BE8" w:rsidRPr="00F310EE" w14:paraId="28405ACA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A30C8A8" w14:textId="330D6D2B" w:rsidR="00BB2BE8" w:rsidRPr="00D448B4" w:rsidRDefault="00BB2BE8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8E95D9" w14:textId="64AB936C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25,4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175DE1" w14:textId="254393F7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91,0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C79557B" w14:textId="2C903CA1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1,8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D13A3B" w14:textId="3472B46C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B3CEA9" w14:textId="2F805519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82,6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B0C1272" w14:textId="694D6CF5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92C6C38" w14:textId="5A59DAC7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18,9</w:t>
            </w:r>
          </w:p>
        </w:tc>
      </w:tr>
      <w:tr w:rsidR="00BB2BE8" w:rsidRPr="00F310EE" w14:paraId="2664A211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4731710" w14:textId="2521E057" w:rsidR="00BB2BE8" w:rsidRPr="00D448B4" w:rsidRDefault="00BB2BE8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487ACE" w14:textId="442AF416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24,0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9C214E" w14:textId="3EE2CA22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107,1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B67976" w14:textId="1D714189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1,7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5E92AF" w14:textId="1CEBEDAD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54,5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F2E364B" w14:textId="2209D593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109,8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E5923D" w14:textId="6E532611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4283ACD" w14:textId="520F54D1" w:rsidR="00BB2BE8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BB2BE8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30,5</w:t>
            </w:r>
          </w:p>
        </w:tc>
      </w:tr>
      <w:tr w:rsidR="00BB2BE8" w:rsidRPr="00F310EE" w14:paraId="14678C3E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36D94EE1" w14:textId="1FA83BA7" w:rsidR="00BB2BE8" w:rsidRPr="00D448B4" w:rsidRDefault="00BB2BE8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B3E7E0" w14:textId="1B243A73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D369EC" w14:textId="57E318C8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105,7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A934BA3" w14:textId="3E3A83AD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C9A24E" w14:textId="7262D25B" w:rsidR="00BB2BE8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644800" w14:textId="5AB3B3CB" w:rsidR="00BB2BE8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32B14A5" w14:textId="55E4C1D3" w:rsidR="00BB2BE8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C3E651" w14:textId="180BEACE" w:rsidR="00BB2BE8" w:rsidRPr="005562DA" w:rsidRDefault="00BB2BE8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16,7</w:t>
            </w:r>
          </w:p>
        </w:tc>
      </w:tr>
      <w:tr w:rsidR="0004199F" w:rsidRPr="00F310EE" w14:paraId="3A348C62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30D2BC5" w14:textId="14054B8A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Нiдерланди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54F9FB" w14:textId="57133A91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99,6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071516" w14:textId="17BAA219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90,8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C0AD0E" w14:textId="6DE94F41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6,9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BBD78A" w14:textId="2A9256F8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114,1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B48A0BA" w14:textId="4B1F205D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90,2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C4AC002" w14:textId="04297970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AB4EEA8" w14:textId="6A5A4477" w:rsidR="0004199F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04199F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14,5</w:t>
            </w:r>
          </w:p>
        </w:tc>
      </w:tr>
      <w:tr w:rsidR="0004199F" w:rsidRPr="00F310EE" w14:paraId="61CAD942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A5211EE" w14:textId="2A2FA6C1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Нiмеччина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986ABE8" w14:textId="7FBCE26D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90,4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7DB1F4" w14:textId="0C476683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65,4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720D335" w14:textId="2A346D42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6,3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1534B81" w14:textId="38504343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703,3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38476FE" w14:textId="7A312359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141,6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BD5D407" w14:textId="4A260E82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15,6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533DDA4" w14:textId="6508D249" w:rsidR="0004199F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04199F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612,9</w:t>
            </w:r>
          </w:p>
        </w:tc>
      </w:tr>
      <w:tr w:rsidR="0004199F" w:rsidRPr="00F310EE" w14:paraId="7CC962E6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DCC8C25" w14:textId="011D07BE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Норвегія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29512B" w14:textId="057DB306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1B9D7C" w14:textId="424999E9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676,2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D758719" w14:textId="1CA26A58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CC9709" w14:textId="1DD67E9F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62,5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CAFCA7" w14:textId="48C46CA2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85,5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D4B57FB" w14:textId="328858A5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7AEC55" w14:textId="0301D8F2" w:rsidR="0004199F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04199F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60,9</w:t>
            </w:r>
          </w:p>
        </w:tc>
      </w:tr>
      <w:tr w:rsidR="0004199F" w:rsidRPr="00F310EE" w14:paraId="03944A0A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6C1A534E" w14:textId="1D9AEF47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FADA76" w14:textId="0988AAC1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145,8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A9BB5E9" w14:textId="5B0B681B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95,3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9E8BB4" w14:textId="5FA5C446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624CFC" w14:textId="7567A3EB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541,7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303C28" w14:textId="24085D31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100,4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280B7DA" w14:textId="6FEBED26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12,0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F1A008F" w14:textId="2331ED38" w:rsidR="0004199F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04199F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395,9</w:t>
            </w:r>
          </w:p>
        </w:tc>
      </w:tr>
      <w:tr w:rsidR="0004199F" w:rsidRPr="00F310EE" w14:paraId="538A99B8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FEFD2DB" w14:textId="5BDA39C7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E78CA89" w14:textId="1900F779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10,3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FEE5B3" w14:textId="55229C0C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935,8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FBEEEA7" w14:textId="2BC94FF4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D6426C" w14:textId="650D0414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59,2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8BF2D90" w14:textId="3F625532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172,7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9439866" w14:textId="3A6B4884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1,3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3A458B" w14:textId="654BEFDF" w:rsidR="0004199F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04199F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48,9</w:t>
            </w:r>
          </w:p>
        </w:tc>
      </w:tr>
      <w:tr w:rsidR="0004199F" w:rsidRPr="00F310EE" w14:paraId="41B622B3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47107C7A" w14:textId="5DE76FF7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8440BD" w14:textId="14C8AB07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67,7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2B48C7F" w14:textId="7155FA97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111,7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37EA4F3" w14:textId="0A7B64E6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4,7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C8ADCB1" w14:textId="3ADA90B7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4,5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64120AF" w14:textId="6DEE890E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97,8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8F9DC2" w14:textId="730CD059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A4008E" w14:textId="4DA1E6AF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63,2</w:t>
            </w:r>
          </w:p>
        </w:tc>
      </w:tr>
      <w:tr w:rsidR="0004199F" w:rsidRPr="00F310EE" w14:paraId="5836C086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9D1A4A0" w14:textId="12BF4D6C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A55023" w14:textId="571BA742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34,9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3002987" w14:textId="5AEC6717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99,6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845FF93" w14:textId="3A3BCE93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2,4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06A9AF2" w14:textId="2370A27D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43,9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C7092A" w14:textId="33165B05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115,2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2B73C2A" w14:textId="7BAE9ED6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8C0208" w14:textId="45A6AF84" w:rsidR="0004199F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04199F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9,0</w:t>
            </w:r>
          </w:p>
        </w:tc>
      </w:tr>
      <w:tr w:rsidR="0004199F" w:rsidRPr="00F310EE" w14:paraId="6406C479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6083EE21" w14:textId="5009D0EB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5363FF" w14:textId="13CAD12E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40,0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A2FF8B7" w14:textId="66C79C43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475,5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655E77" w14:textId="12C2AC48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2,8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E60134" w14:textId="5157F5E3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5,8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6C8F909" w14:textId="3680D3FE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55,6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706C39C" w14:textId="0751788A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8AFC87" w14:textId="5B8A01A0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34,2</w:t>
            </w:r>
          </w:p>
        </w:tc>
      </w:tr>
      <w:tr w:rsidR="0004199F" w:rsidRPr="00F310EE" w14:paraId="57C77A3D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0F479FE" w14:textId="23A0B96A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DF8F836" w14:textId="586D3981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14,7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572209" w14:textId="7143F6A8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67,0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C174D5" w14:textId="575A8158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ABE6BE" w14:textId="4620DF9D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63,7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BFFF48" w14:textId="762F7149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108,6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B15B73" w14:textId="1519E2E7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C0E3301" w14:textId="20B5C220" w:rsidR="0004199F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04199F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49,0</w:t>
            </w:r>
          </w:p>
        </w:tc>
      </w:tr>
      <w:tr w:rsidR="0004199F" w:rsidRPr="00F310EE" w14:paraId="759B891F" w14:textId="77777777" w:rsidTr="004A0B62">
        <w:trPr>
          <w:trHeight w:hRule="exact" w:val="738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41ED6B2" w14:textId="67F5DC84" w:rsidR="0004199F" w:rsidRPr="00D448B4" w:rsidRDefault="0004199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1F1693" w14:textId="4B202324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104,0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B1C9CF" w14:textId="2AF0F984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151,6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98042F" w14:textId="5204490C" w:rsidR="0004199F" w:rsidRPr="0004406B" w:rsidRDefault="0004406B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7,2</w:t>
            </w:r>
            <w:bookmarkStart w:id="3" w:name="_GoBack"/>
            <w:bookmarkEnd w:id="3"/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E54DD3" w14:textId="311CFC23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159,4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E76DD1" w14:textId="4001AAFF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111,2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6CE6C7" w14:textId="1B09E223" w:rsidR="0004199F" w:rsidRPr="005562DA" w:rsidRDefault="0004199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EDE6A29" w14:textId="2629ACA3" w:rsidR="0004199F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04199F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55,3</w:t>
            </w:r>
          </w:p>
        </w:tc>
      </w:tr>
      <w:tr w:rsidR="00C15C27" w:rsidRPr="00F310EE" w14:paraId="75697C93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1C300F14" w14:textId="5E1998F4" w:rsidR="00C15C27" w:rsidRPr="00D448B4" w:rsidRDefault="00C15C27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BF2EBB" w14:textId="26EADEED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9,8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70AC2E" w14:textId="1B76FB79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79,8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8A1815" w14:textId="3E9A0E79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0CAC063" w14:textId="372A16AB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301,0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D4358E1" w14:textId="64B46860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108,8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B56B15" w14:textId="781504F0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6,7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D9D913" w14:textId="0B84E80B" w:rsidR="00C15C27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C15C27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291,2</w:t>
            </w:r>
          </w:p>
        </w:tc>
      </w:tr>
      <w:tr w:rsidR="00C15C27" w:rsidRPr="00F310EE" w14:paraId="26EC7AEE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60942A0E" w14:textId="170DC327" w:rsidR="00C15C27" w:rsidRPr="00D448B4" w:rsidRDefault="00C15C27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1E4470" w14:textId="052C994F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84,5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343F00" w14:textId="1B021BA8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136,0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A61B352" w14:textId="3AEBB919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5,9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294634" w14:textId="0028CF59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245,6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7770491" w14:textId="38A745F3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121,5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F71A0C" w14:textId="04335319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AF235D" w14:textId="51F13EDB" w:rsidR="00C15C27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C15C27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161,1</w:t>
            </w:r>
          </w:p>
        </w:tc>
      </w:tr>
      <w:tr w:rsidR="00C15C27" w:rsidRPr="00F310EE" w14:paraId="7C4D7FDA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5AB6B8B" w14:textId="060461F9" w:rsidR="00C15C27" w:rsidRPr="00D448B4" w:rsidRDefault="00C15C27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C49701E" w14:textId="0016438E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14,8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5EE05A" w14:textId="712A4AB7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121,4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D1B209" w14:textId="7E814E28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1,0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A7FF33" w14:textId="41A04FF0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56,0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CF63227" w14:textId="3E278A52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114,4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EEC7DA" w14:textId="0DF2475B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75CD31" w14:textId="742574A8" w:rsidR="00C15C27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C15C27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41,2</w:t>
            </w:r>
          </w:p>
        </w:tc>
      </w:tr>
      <w:tr w:rsidR="00C15C27" w:rsidRPr="00F310EE" w14:paraId="41AB04FB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FCEF5A6" w14:textId="712F46C6" w:rsidR="00C15C27" w:rsidRPr="00D448B4" w:rsidRDefault="00C15C27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Фiнляндiя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B2BE98" w14:textId="26E798C5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3,3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146862A" w14:textId="1DDC9469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107,1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95D4E5" w14:textId="323647A1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1534A7" w14:textId="6766A9E7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27,9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91ADE1" w14:textId="6890E885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119,3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C867F4" w14:textId="1A351BD9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48E5F8" w14:textId="05218E65" w:rsidR="00C15C27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C15C27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24,6</w:t>
            </w:r>
          </w:p>
        </w:tc>
      </w:tr>
      <w:tr w:rsidR="00C15C27" w:rsidRPr="00F310EE" w14:paraId="1A158278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33ADC351" w14:textId="3DBB1869" w:rsidR="00C15C27" w:rsidRPr="00D448B4" w:rsidRDefault="00C15C27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2AD504" w14:textId="1F2C4B3A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56,5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3AC516" w14:textId="014EAC05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412,8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3A78D2C" w14:textId="4229EBEC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3,9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DDFA2F5" w14:textId="5D4C87BD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141,8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7B76E8" w14:textId="5C003C25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117,4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68D7D52" w14:textId="10103328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3,2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0D80DD" w14:textId="5519DFAE" w:rsidR="00C15C27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C15C27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85,3</w:t>
            </w:r>
          </w:p>
        </w:tc>
      </w:tr>
      <w:tr w:rsidR="00C15C27" w:rsidRPr="00F310EE" w14:paraId="5FDAD722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66B2CB3" w14:textId="3111A816" w:rsidR="00C15C27" w:rsidRPr="00D448B4" w:rsidRDefault="00C15C27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9E72C4" w14:textId="5885BDAC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38,6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A5BBB1" w14:textId="1DCA4714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123,7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1E641E" w14:textId="74158AB3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2,7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F3C58A" w14:textId="7976FD52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127,8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8EE1586" w14:textId="64E11C36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116,6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0BCA014" w14:textId="2B043356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2,8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F55F668" w14:textId="0D1FDFB5" w:rsidR="00C15C27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C15C27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89,2</w:t>
            </w:r>
          </w:p>
        </w:tc>
      </w:tr>
      <w:tr w:rsidR="00C15C27" w:rsidRPr="00F310EE" w14:paraId="08D56BEE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554D5BC4" w14:textId="3A64F8F8" w:rsidR="00C15C27" w:rsidRPr="00D448B4" w:rsidRDefault="00C15C27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Швейцарія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C64A5E" w14:textId="316AD6D0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0,8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1FBBA9" w14:textId="6ABFB217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71,5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16F0F20" w14:textId="572015F7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CA3F219" w14:textId="04F77701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27,8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8BA11D" w14:textId="249D25C6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94,4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FB0D54A" w14:textId="3BBEF08D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F3461C" w14:textId="1763344D" w:rsidR="00C15C27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C15C27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27,0</w:t>
            </w:r>
          </w:p>
        </w:tc>
      </w:tr>
      <w:tr w:rsidR="00C15C27" w:rsidRPr="00F310EE" w14:paraId="183E89D4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7E9A2F12" w14:textId="4EB01BA2" w:rsidR="00C15C27" w:rsidRPr="00D448B4" w:rsidRDefault="00C15C27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C2541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Швецiя</w:t>
            </w:r>
            <w:proofErr w:type="spellEnd"/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C0CCCC8" w14:textId="701A699F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4,1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2190F9E" w14:textId="4052F49E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82,5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78D6B8" w14:textId="497F34FA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D24522" w14:textId="30204405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65,0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B2FF98" w14:textId="60DE4E8E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111,9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0446AE" w14:textId="4B787627" w:rsidR="00C15C27" w:rsidRPr="005562DA" w:rsidRDefault="00C15C27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1,4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E186098" w14:textId="71F18E11" w:rsidR="00C15C27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C15C27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60,9</w:t>
            </w:r>
          </w:p>
        </w:tc>
      </w:tr>
      <w:tr w:rsidR="0049601C" w:rsidRPr="00F310EE" w14:paraId="4F521315" w14:textId="77777777" w:rsidTr="004A0B62">
        <w:trPr>
          <w:trHeight w:hRule="exact" w:val="255"/>
        </w:trPr>
        <w:tc>
          <w:tcPr>
            <w:tcW w:w="2822" w:type="dxa"/>
            <w:vAlign w:val="bottom"/>
          </w:tcPr>
          <w:p w14:paraId="6A2556B9" w14:textId="77777777" w:rsidR="0049601C" w:rsidRPr="00C25418" w:rsidRDefault="0049601C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2F5496" w:themeColor="accent1" w:themeShade="BF"/>
            </w:tcBorders>
            <w:vAlign w:val="bottom"/>
          </w:tcPr>
          <w:p w14:paraId="357CD445" w14:textId="77777777" w:rsidR="0049601C" w:rsidRPr="005562DA" w:rsidRDefault="0049601C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2F5496" w:themeColor="accent1" w:themeShade="BF"/>
            </w:tcBorders>
            <w:vAlign w:val="bottom"/>
          </w:tcPr>
          <w:p w14:paraId="10E82579" w14:textId="77777777" w:rsidR="0049601C" w:rsidRPr="005562DA" w:rsidRDefault="0049601C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2F5496" w:themeColor="accent1" w:themeShade="BF"/>
            </w:tcBorders>
            <w:vAlign w:val="bottom"/>
          </w:tcPr>
          <w:p w14:paraId="34F25498" w14:textId="77777777" w:rsidR="0049601C" w:rsidRPr="005562DA" w:rsidRDefault="0049601C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2F5496" w:themeColor="accent1" w:themeShade="BF"/>
            </w:tcBorders>
            <w:vAlign w:val="bottom"/>
          </w:tcPr>
          <w:p w14:paraId="4FA4298E" w14:textId="77777777" w:rsidR="0049601C" w:rsidRPr="005562DA" w:rsidRDefault="0049601C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2F5496" w:themeColor="accent1" w:themeShade="BF"/>
            </w:tcBorders>
            <w:vAlign w:val="bottom"/>
          </w:tcPr>
          <w:p w14:paraId="67DAFA5C" w14:textId="77777777" w:rsidR="0049601C" w:rsidRPr="005562DA" w:rsidRDefault="0049601C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2F5496" w:themeColor="accent1" w:themeShade="BF"/>
            </w:tcBorders>
            <w:vAlign w:val="bottom"/>
          </w:tcPr>
          <w:p w14:paraId="56C38A17" w14:textId="77777777" w:rsidR="0049601C" w:rsidRPr="005562DA" w:rsidRDefault="0049601C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2F5496" w:themeColor="accent1" w:themeShade="BF"/>
            </w:tcBorders>
            <w:vAlign w:val="bottom"/>
          </w:tcPr>
          <w:p w14:paraId="26957910" w14:textId="77777777" w:rsidR="0049601C" w:rsidRPr="005562DA" w:rsidRDefault="0049601C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59141F" w:rsidRPr="00F310EE" w14:paraId="7B040E87" w14:textId="77777777" w:rsidTr="004A0B62">
        <w:trPr>
          <w:trHeight w:hRule="exact" w:val="255"/>
        </w:trPr>
        <w:tc>
          <w:tcPr>
            <w:tcW w:w="2822" w:type="dxa"/>
            <w:vAlign w:val="bottom"/>
          </w:tcPr>
          <w:p w14:paraId="323A3EFE" w14:textId="77777777" w:rsidR="0059141F" w:rsidRPr="00D448B4" w:rsidRDefault="0059141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028" w:type="dxa"/>
            <w:vAlign w:val="bottom"/>
          </w:tcPr>
          <w:p w14:paraId="7F8F59DB" w14:textId="77777777" w:rsidR="0059141F" w:rsidRPr="005562DA" w:rsidRDefault="0059141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5" w:type="dxa"/>
            <w:vAlign w:val="bottom"/>
          </w:tcPr>
          <w:p w14:paraId="3977209E" w14:textId="77777777" w:rsidR="0059141F" w:rsidRPr="005562DA" w:rsidRDefault="0059141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92" w:type="dxa"/>
            <w:vAlign w:val="bottom"/>
          </w:tcPr>
          <w:p w14:paraId="2A2B2331" w14:textId="77777777" w:rsidR="0059141F" w:rsidRPr="005562DA" w:rsidRDefault="0059141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8" w:type="dxa"/>
            <w:vAlign w:val="bottom"/>
          </w:tcPr>
          <w:p w14:paraId="53F1E7D1" w14:textId="77777777" w:rsidR="0059141F" w:rsidRPr="005562DA" w:rsidRDefault="0059141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02570EAD" w14:textId="77777777" w:rsidR="0059141F" w:rsidRPr="005562DA" w:rsidRDefault="0059141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9" w:type="dxa"/>
            <w:vAlign w:val="bottom"/>
          </w:tcPr>
          <w:p w14:paraId="60DABCD7" w14:textId="77777777" w:rsidR="0059141F" w:rsidRPr="005562DA" w:rsidRDefault="0059141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7" w:type="dxa"/>
            <w:vAlign w:val="bottom"/>
          </w:tcPr>
          <w:p w14:paraId="428B7493" w14:textId="77777777" w:rsidR="0059141F" w:rsidRPr="005562DA" w:rsidRDefault="0059141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59141F" w:rsidRPr="00F310EE" w14:paraId="76D2BEE6" w14:textId="77777777" w:rsidTr="004A0B62">
        <w:trPr>
          <w:trHeight w:hRule="exact" w:val="255"/>
        </w:trPr>
        <w:tc>
          <w:tcPr>
            <w:tcW w:w="2822" w:type="dxa"/>
            <w:vAlign w:val="bottom"/>
          </w:tcPr>
          <w:p w14:paraId="65AE5D28" w14:textId="77777777" w:rsidR="0059141F" w:rsidRPr="00D448B4" w:rsidRDefault="0059141F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tcBorders>
              <w:bottom w:val="single" w:sz="4" w:space="0" w:color="2F5496" w:themeColor="accent1" w:themeShade="BF"/>
            </w:tcBorders>
            <w:vAlign w:val="bottom"/>
          </w:tcPr>
          <w:p w14:paraId="6D38BAFE" w14:textId="77777777" w:rsidR="0059141F" w:rsidRPr="005562DA" w:rsidRDefault="0059141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5" w:type="dxa"/>
            <w:tcBorders>
              <w:bottom w:val="single" w:sz="4" w:space="0" w:color="2F5496" w:themeColor="accent1" w:themeShade="BF"/>
            </w:tcBorders>
            <w:vAlign w:val="bottom"/>
          </w:tcPr>
          <w:p w14:paraId="346A9EF5" w14:textId="77777777" w:rsidR="0059141F" w:rsidRPr="005562DA" w:rsidRDefault="0059141F" w:rsidP="005562DA">
            <w:pPr>
              <w:spacing w:afterLines="160" w:after="384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92" w:type="dxa"/>
            <w:tcBorders>
              <w:bottom w:val="single" w:sz="4" w:space="0" w:color="2F5496" w:themeColor="accent1" w:themeShade="BF"/>
            </w:tcBorders>
            <w:vAlign w:val="bottom"/>
          </w:tcPr>
          <w:p w14:paraId="7960DA11" w14:textId="77777777" w:rsidR="0059141F" w:rsidRPr="005562DA" w:rsidRDefault="0059141F" w:rsidP="005562DA">
            <w:pPr>
              <w:spacing w:afterLines="160" w:after="384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8" w:type="dxa"/>
            <w:tcBorders>
              <w:bottom w:val="single" w:sz="4" w:space="0" w:color="2F5496" w:themeColor="accent1" w:themeShade="BF"/>
            </w:tcBorders>
            <w:vAlign w:val="bottom"/>
          </w:tcPr>
          <w:p w14:paraId="139ABFCE" w14:textId="77777777" w:rsidR="0059141F" w:rsidRPr="005562DA" w:rsidRDefault="0059141F" w:rsidP="005562DA">
            <w:pPr>
              <w:spacing w:afterLines="160" w:after="384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18" w:type="dxa"/>
            <w:tcBorders>
              <w:bottom w:val="single" w:sz="4" w:space="0" w:color="2F5496" w:themeColor="accent1" w:themeShade="BF"/>
            </w:tcBorders>
            <w:vAlign w:val="bottom"/>
          </w:tcPr>
          <w:p w14:paraId="32BCFE74" w14:textId="77777777" w:rsidR="0059141F" w:rsidRPr="005562DA" w:rsidRDefault="0059141F" w:rsidP="005562DA">
            <w:pPr>
              <w:spacing w:afterLines="160" w:after="384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9" w:type="dxa"/>
            <w:tcBorders>
              <w:bottom w:val="single" w:sz="4" w:space="0" w:color="2F5496" w:themeColor="accent1" w:themeShade="BF"/>
            </w:tcBorders>
            <w:vAlign w:val="bottom"/>
          </w:tcPr>
          <w:p w14:paraId="177A7FF6" w14:textId="77777777" w:rsidR="0059141F" w:rsidRPr="005562DA" w:rsidRDefault="0059141F" w:rsidP="005562DA">
            <w:pPr>
              <w:spacing w:afterLines="160" w:after="384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7" w:type="dxa"/>
            <w:tcBorders>
              <w:bottom w:val="single" w:sz="4" w:space="0" w:color="2F5496" w:themeColor="accent1" w:themeShade="BF"/>
            </w:tcBorders>
            <w:vAlign w:val="bottom"/>
          </w:tcPr>
          <w:p w14:paraId="518BAF59" w14:textId="77777777" w:rsidR="0059141F" w:rsidRPr="005562DA" w:rsidRDefault="0059141F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EC6E15" w:rsidRPr="00F310EE" w14:paraId="6F13CC62" w14:textId="77777777" w:rsidTr="004A0B62">
        <w:trPr>
          <w:trHeight w:hRule="exact" w:val="255"/>
        </w:trPr>
        <w:tc>
          <w:tcPr>
            <w:tcW w:w="2822" w:type="dxa"/>
            <w:tcBorders>
              <w:right w:val="single" w:sz="4" w:space="0" w:color="2F5496" w:themeColor="accent1" w:themeShade="BF"/>
            </w:tcBorders>
            <w:vAlign w:val="bottom"/>
          </w:tcPr>
          <w:p w14:paraId="0DF26808" w14:textId="77777777" w:rsidR="00EC6E15" w:rsidRPr="00AF2C3F" w:rsidRDefault="00EC6E15" w:rsidP="00943234">
            <w:pPr>
              <w:spacing w:line="24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02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20E6FC7" w14:textId="3CA2E418" w:rsidR="00EC6E15" w:rsidRPr="005562DA" w:rsidRDefault="00EC6E1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770,5</w:t>
            </w:r>
          </w:p>
        </w:tc>
        <w:tc>
          <w:tcPr>
            <w:tcW w:w="995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3E5F47" w14:textId="6FAD35D8" w:rsidR="00EC6E15" w:rsidRPr="005562DA" w:rsidRDefault="00EC6E1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90,4</w:t>
            </w:r>
          </w:p>
        </w:tc>
        <w:tc>
          <w:tcPr>
            <w:tcW w:w="10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9D9FD0A" w14:textId="62F78F69" w:rsidR="00EC6E15" w:rsidRPr="005562DA" w:rsidRDefault="00EC6E1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53,4</w:t>
            </w:r>
          </w:p>
        </w:tc>
        <w:tc>
          <w:tcPr>
            <w:tcW w:w="97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20CB52" w14:textId="507ADF36" w:rsidR="00EC6E15" w:rsidRPr="005562DA" w:rsidRDefault="00EC6E1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2313,9</w:t>
            </w:r>
          </w:p>
        </w:tc>
        <w:tc>
          <w:tcPr>
            <w:tcW w:w="1018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A79F3E" w14:textId="5ECCE463" w:rsidR="00EC6E15" w:rsidRPr="005562DA" w:rsidRDefault="00EC6E1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113,4</w:t>
            </w:r>
          </w:p>
        </w:tc>
        <w:tc>
          <w:tcPr>
            <w:tcW w:w="104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194F778" w14:textId="756291BD" w:rsidR="00EC6E15" w:rsidRPr="005562DA" w:rsidRDefault="00EC6E15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51,5</w:t>
            </w:r>
          </w:p>
        </w:tc>
        <w:tc>
          <w:tcPr>
            <w:tcW w:w="99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E6B0A7" w14:textId="7D01F53E" w:rsidR="00EC6E15" w:rsidRPr="005562DA" w:rsidRDefault="004A0B62" w:rsidP="005562DA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  <w:r w:rsidR="00EC6E15" w:rsidRPr="005562D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1543,3</w:t>
            </w:r>
          </w:p>
        </w:tc>
      </w:tr>
    </w:tbl>
    <w:p w14:paraId="0A9CE728" w14:textId="7B4B1F40" w:rsidR="002922A6" w:rsidRPr="001F3727" w:rsidRDefault="002922A6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lastRenderedPageBreak/>
        <w:t xml:space="preserve"> </w:t>
      </w:r>
      <w:proofErr w:type="spellStart"/>
      <w:r w:rsidRPr="001F3727">
        <w:rPr>
          <w:rFonts w:asciiTheme="minorHAnsi" w:hAnsiTheme="minorHAnsi" w:cstheme="minorHAnsi"/>
          <w:color w:val="22517D"/>
          <w:lang w:val="ru-RU"/>
        </w:rPr>
        <w:t>Додаток</w:t>
      </w:r>
      <w:proofErr w:type="spellEnd"/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14:paraId="0075AA84" w14:textId="202F12AB" w:rsidR="002922A6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8337BD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Товарна структура зовнішньої торгівлі в </w:t>
      </w:r>
      <w:r w:rsidR="005B3906" w:rsidRPr="008337BD">
        <w:rPr>
          <w:rFonts w:asciiTheme="minorHAnsi" w:hAnsiTheme="minorHAnsi" w:cstheme="minorHAnsi"/>
          <w:b/>
          <w:color w:val="DB9528"/>
          <w:sz w:val="26"/>
          <w:szCs w:val="26"/>
        </w:rPr>
        <w:t>січні–</w:t>
      </w:r>
      <w:r w:rsidR="00143701">
        <w:rPr>
          <w:rFonts w:asciiTheme="minorHAnsi" w:hAnsiTheme="minorHAnsi" w:cstheme="minorHAnsi"/>
          <w:b/>
          <w:color w:val="DB9528"/>
          <w:sz w:val="26"/>
          <w:szCs w:val="26"/>
        </w:rPr>
        <w:t>верес</w:t>
      </w:r>
      <w:r w:rsidR="005B3906" w:rsidRPr="008337BD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ні </w:t>
      </w:r>
      <w:r w:rsidRPr="008337BD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1DD491F5" w14:textId="77777777" w:rsidR="008337BD" w:rsidRPr="008337BD" w:rsidRDefault="008337BD" w:rsidP="002922A6">
      <w:pPr>
        <w:ind w:left="-142" w:right="-285"/>
        <w:jc w:val="center"/>
        <w:rPr>
          <w:rFonts w:asciiTheme="minorHAnsi" w:hAnsiTheme="minorHAnsi" w:cstheme="minorHAnsi"/>
          <w:b/>
          <w:sz w:val="26"/>
          <w:szCs w:val="26"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999"/>
        <w:gridCol w:w="43"/>
        <w:gridCol w:w="1204"/>
        <w:gridCol w:w="1109"/>
        <w:gridCol w:w="971"/>
        <w:gridCol w:w="1247"/>
        <w:gridCol w:w="1109"/>
      </w:tblGrid>
      <w:tr w:rsidR="002922A6" w:rsidRPr="00F310EE" w14:paraId="5D5AE590" w14:textId="77777777" w:rsidTr="00CB0E8C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14:paraId="3D1B30EB" w14:textId="77777777" w:rsidR="002922A6" w:rsidRPr="00ED2550" w:rsidRDefault="002922A6" w:rsidP="007340A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306C3B" w14:textId="77777777" w:rsidR="002922A6" w:rsidRPr="00ED2550" w:rsidRDefault="002922A6" w:rsidP="007340A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14:paraId="77B4F5F6" w14:textId="77777777" w:rsidR="002922A6" w:rsidRPr="00ED2550" w:rsidRDefault="002922A6" w:rsidP="007340A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4"/>
            <w:shd w:val="clear" w:color="auto" w:fill="DDEEFE"/>
            <w:vAlign w:val="center"/>
          </w:tcPr>
          <w:p w14:paraId="744CD919" w14:textId="77777777" w:rsidR="002922A6" w:rsidRPr="00ED2550" w:rsidRDefault="002922A6" w:rsidP="00AB6E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43318227" w14:textId="77777777" w:rsidR="002922A6" w:rsidRPr="00ED2550" w:rsidRDefault="002922A6" w:rsidP="00AB6E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2C1EEA" w:rsidRPr="00F310EE" w14:paraId="1BB11F35" w14:textId="77777777" w:rsidTr="00BF6A3B">
        <w:trPr>
          <w:trHeight w:val="283"/>
        </w:trPr>
        <w:tc>
          <w:tcPr>
            <w:tcW w:w="2410" w:type="dxa"/>
            <w:vMerge/>
            <w:shd w:val="clear" w:color="auto" w:fill="DDEEFE"/>
            <w:vAlign w:val="center"/>
          </w:tcPr>
          <w:p w14:paraId="0325A586" w14:textId="77777777" w:rsidR="002C1EEA" w:rsidRPr="00ED255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14:paraId="564BC1D9" w14:textId="77777777" w:rsidR="002C1EEA" w:rsidRPr="00ED255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63BB8799" w14:textId="3005A929" w:rsidR="002C1EEA" w:rsidRPr="00ED2550" w:rsidRDefault="002C1EEA" w:rsidP="007340AA">
            <w:pPr>
              <w:spacing w:line="24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04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2C4DE933" w14:textId="40DBADFF" w:rsidR="002C1EEA" w:rsidRPr="00ED2550" w:rsidRDefault="00A56530" w:rsidP="00143701">
            <w:pPr>
              <w:spacing w:line="240" w:lineRule="exact"/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 w:rsidR="0014370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3F82397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17A3E6F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9B9F559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72C6868B" w14:textId="64375F3C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47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52483BF" w14:textId="3A020419" w:rsidR="002C1EEA" w:rsidRPr="00ED2550" w:rsidRDefault="00A56530" w:rsidP="00143701">
            <w:pPr>
              <w:spacing w:line="240" w:lineRule="exact"/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 w:rsidR="0014370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24DF1CF7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E66FCC2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FFB6DD3" w14:textId="77777777" w:rsidR="002C1EEA" w:rsidRPr="00ED2550" w:rsidRDefault="002C1EEA" w:rsidP="007340AA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FE376F" w:rsidRPr="00F310EE" w14:paraId="684C2A66" w14:textId="77777777" w:rsidTr="00BF6A3B">
        <w:trPr>
          <w:trHeight w:val="227"/>
        </w:trPr>
        <w:tc>
          <w:tcPr>
            <w:tcW w:w="2410" w:type="dxa"/>
          </w:tcPr>
          <w:p w14:paraId="7506E8C7" w14:textId="77777777" w:rsidR="00FE376F" w:rsidRPr="00ED2550" w:rsidRDefault="00FE376F" w:rsidP="00FE376F">
            <w:pPr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 xml:space="preserve"> Усього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</w:tcPr>
          <w:p w14:paraId="251D00CC" w14:textId="77777777" w:rsidR="00FE376F" w:rsidRPr="00ED2550" w:rsidRDefault="00FE376F" w:rsidP="00FE376F">
            <w:pPr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B4582A" w14:textId="3CC2911E" w:rsidR="00FE376F" w:rsidRPr="00BF6A3B" w:rsidRDefault="00FE376F" w:rsidP="005254D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BF6A3B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1444,1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5A73D17" w14:textId="0F4603A5" w:rsidR="00FE376F" w:rsidRPr="00BF6A3B" w:rsidRDefault="00FE376F" w:rsidP="005254D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BF6A3B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99,3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DF8289" w14:textId="0C0678F5" w:rsidR="00FE376F" w:rsidRPr="00BF6A3B" w:rsidRDefault="00FE376F" w:rsidP="005254D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BF6A3B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89F79E4" w14:textId="6F5B0254" w:rsidR="00FE376F" w:rsidRPr="00BF6A3B" w:rsidRDefault="00FE376F" w:rsidP="005254D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BF6A3B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4497,2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13FB8A" w14:textId="11753A9E" w:rsidR="00FE376F" w:rsidRPr="00BF6A3B" w:rsidRDefault="00FE376F" w:rsidP="005254D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BF6A3B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114,6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A5C38F" w14:textId="59567AAA" w:rsidR="00FE376F" w:rsidRPr="00BF6A3B" w:rsidRDefault="00FE376F" w:rsidP="005254D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BF6A3B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</w:tr>
      <w:tr w:rsidR="00C5231A" w:rsidRPr="00F310EE" w14:paraId="67D41AFF" w14:textId="77777777" w:rsidTr="005254D5">
        <w:trPr>
          <w:trHeight w:val="255"/>
        </w:trPr>
        <w:tc>
          <w:tcPr>
            <w:tcW w:w="2410" w:type="dxa"/>
          </w:tcPr>
          <w:p w14:paraId="4D038902" w14:textId="77777777" w:rsidR="00C5231A" w:rsidRPr="00ED2550" w:rsidRDefault="00C5231A" w:rsidP="007340AA">
            <w:pPr>
              <w:spacing w:after="100" w:afterAutospacing="1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</w:tcPr>
          <w:p w14:paraId="1BABF888" w14:textId="77777777" w:rsidR="00C5231A" w:rsidRPr="00ED2550" w:rsidRDefault="00C5231A" w:rsidP="007340AA">
            <w:pPr>
              <w:spacing w:after="100" w:afterAutospacing="1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F6A34FA" w14:textId="77777777" w:rsidR="00C5231A" w:rsidRPr="005254D5" w:rsidRDefault="00C5231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87F1DCF" w14:textId="77777777" w:rsidR="00C5231A" w:rsidRPr="005254D5" w:rsidRDefault="00C5231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FA75082" w14:textId="77777777" w:rsidR="00C5231A" w:rsidRPr="005254D5" w:rsidRDefault="00C5231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0C881EA" w14:textId="77777777" w:rsidR="00C5231A" w:rsidRPr="005254D5" w:rsidRDefault="00C5231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72CBD0F" w14:textId="77777777" w:rsidR="00C5231A" w:rsidRPr="005254D5" w:rsidRDefault="00C5231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A5DB421" w14:textId="77777777" w:rsidR="00C5231A" w:rsidRPr="005254D5" w:rsidRDefault="00C5231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3C5577" w:rsidRPr="00F310EE" w14:paraId="0D8B8308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4F1C8DA4" w14:textId="77777777" w:rsidR="003C5577" w:rsidRPr="00ED2550" w:rsidRDefault="003C5577" w:rsidP="003C5577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Живi</w:t>
            </w:r>
            <w:proofErr w:type="spellEnd"/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тварини; продукти тваринного походження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572A0BA" w14:textId="77777777" w:rsidR="003C5577" w:rsidRPr="00ED2550" w:rsidRDefault="003C5577" w:rsidP="003C55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8CB25F" w14:textId="77390E8F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195,5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A3C632" w14:textId="62F06AE6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203,0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6F74449" w14:textId="3C41E993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7034902" w14:textId="47AA7515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235,8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14BD2D" w14:textId="715A87CF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109,1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AA2CF5" w14:textId="39190098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5,2</w:t>
            </w:r>
          </w:p>
        </w:tc>
      </w:tr>
      <w:tr w:rsidR="00046E33" w:rsidRPr="00F310EE" w14:paraId="4F764848" w14:textId="77777777" w:rsidTr="005254D5">
        <w:trPr>
          <w:trHeight w:val="255"/>
        </w:trPr>
        <w:tc>
          <w:tcPr>
            <w:tcW w:w="2410" w:type="dxa"/>
            <w:vAlign w:val="bottom"/>
          </w:tcPr>
          <w:p w14:paraId="3CF83A01" w14:textId="054E7C16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9D608D7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31DD6BA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AC3875E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A2D0D45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D62EE06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75253D7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C673C04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3C5577" w:rsidRPr="00F310EE" w14:paraId="6DC9AF3C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4F5A50CA" w14:textId="2EFB1D27" w:rsidR="003C5577" w:rsidRPr="00ED2550" w:rsidRDefault="003C5577" w:rsidP="003C5577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м’ясо та їстівні субпродукти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6DA3DC2" w14:textId="729A2DBE" w:rsidR="003C5577" w:rsidRPr="00ED2550" w:rsidRDefault="003C5577" w:rsidP="003C55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02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D80164B" w14:textId="2599C72E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143,7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5E3F46C" w14:textId="177AF459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272,3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24770E" w14:textId="62FCBC7E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9,9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2F800D2" w14:textId="14D81687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F443C9F" w14:textId="40E4E9F9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260,8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7D692C7" w14:textId="28F0C063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</w:tr>
      <w:tr w:rsidR="003C5577" w:rsidRPr="00F310EE" w14:paraId="1766816A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23F00E6B" w14:textId="1FD9C44B" w:rsidR="003C5577" w:rsidRPr="00ED2550" w:rsidRDefault="003C5577" w:rsidP="003C5577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риба i ракоподібні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4B65F6B0" w14:textId="004C24E0" w:rsidR="003C5577" w:rsidRPr="00ED2550" w:rsidRDefault="003C5577" w:rsidP="003C55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03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B59348" w14:textId="37116205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E006B9" w14:textId="30EA1B4E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106,7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66ED1AF" w14:textId="20264FBC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1,3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6EDE53" w14:textId="78CDB550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175,8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53CF06" w14:textId="06B1ABFC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101,2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639EDDA" w14:textId="691FA801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3,9</w:t>
            </w:r>
          </w:p>
        </w:tc>
      </w:tr>
      <w:tr w:rsidR="003C5577" w:rsidRPr="00F310EE" w14:paraId="5DA191EF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5788DE36" w14:textId="042F5EA0" w:rsidR="003C5577" w:rsidRPr="00ED2550" w:rsidRDefault="003C5577" w:rsidP="003C5577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8C1ACF6" w14:textId="284DCAEA" w:rsidR="003C5577" w:rsidRPr="00ED2550" w:rsidRDefault="003C5577" w:rsidP="003C55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915300E" w14:textId="5552AA93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439,3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CE18F5C" w14:textId="5F66BF6A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458315" w14:textId="03CA2293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30,4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C27B1E" w14:textId="7C9D0571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235,5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FA1A78" w14:textId="2EE6A80D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125,1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D64F00" w14:textId="61C9D90E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5,2</w:t>
            </w:r>
          </w:p>
        </w:tc>
      </w:tr>
      <w:tr w:rsidR="00046E33" w:rsidRPr="00F310EE" w14:paraId="29187414" w14:textId="77777777" w:rsidTr="005254D5">
        <w:trPr>
          <w:trHeight w:val="255"/>
        </w:trPr>
        <w:tc>
          <w:tcPr>
            <w:tcW w:w="2410" w:type="dxa"/>
            <w:vAlign w:val="bottom"/>
          </w:tcPr>
          <w:p w14:paraId="42B1C39C" w14:textId="4B6E29FE" w:rsidR="00046E33" w:rsidRPr="00ED2550" w:rsidRDefault="00046E33" w:rsidP="004238A1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8AA2059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71A7C6A7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C7CEA15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F2CF361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A81C295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F1288CC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516DC91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3C5577" w:rsidRPr="00F310EE" w14:paraId="53D17DBC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470F9926" w14:textId="5C4DC4A9" w:rsidR="003C5577" w:rsidRPr="00ED2550" w:rsidRDefault="003C5577" w:rsidP="003C5577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культури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C732717" w14:textId="2E7E5F36" w:rsidR="003C5577" w:rsidRPr="00ED2550" w:rsidRDefault="003C5577" w:rsidP="003C55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8AF607E" w14:textId="3AFE8BDA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277,3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159205" w14:textId="524801F0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84,1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58FB843" w14:textId="2F7F2290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9CB249" w14:textId="3B5DC801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5,2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7709374" w14:textId="17CE921A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150,7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D5A96C" w14:textId="6AC7AAB6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</w:tr>
      <w:tr w:rsidR="003C5577" w:rsidRPr="00F310EE" w14:paraId="0B0C5C56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60A6F961" w14:textId="41176FF6" w:rsidR="003C5577" w:rsidRPr="00ED2550" w:rsidRDefault="003C5577" w:rsidP="003C5577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насіння і плоди олійних рослин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00B9D89B" w14:textId="3B2F05F0" w:rsidR="003C5577" w:rsidRPr="00ED2550" w:rsidRDefault="003C5577" w:rsidP="003C55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B76807" w14:textId="5C7C8CCB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137,4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1EDDD0" w14:textId="31322F26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83,7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3050F3" w14:textId="6D4791C1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9E52B2" w14:textId="6DAF87DB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32,3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6D73707" w14:textId="01FBC862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105,4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66E281" w14:textId="334319C4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</w:tr>
      <w:tr w:rsidR="003C5577" w:rsidRPr="00F310EE" w14:paraId="5A8CA156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69904572" w14:textId="16038C4D" w:rsidR="003C5577" w:rsidRPr="00ED2550" w:rsidRDefault="003C5577" w:rsidP="003C5577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Жири та олії тваринного або рослинного походження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EC51D19" w14:textId="212A1DB9" w:rsidR="003C5577" w:rsidRPr="00ED2550" w:rsidRDefault="003C5577" w:rsidP="003C55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III. 15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FA3D7F" w14:textId="04A20FAE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191,1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15FCD0" w14:textId="584047B2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78,4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F90A2EF" w14:textId="350B6E6D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C78FE6" w14:textId="1298219E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6,9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4E86C08" w14:textId="714E71F4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104,6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8543F2" w14:textId="69768963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</w:tr>
      <w:tr w:rsidR="003C5577" w:rsidRPr="00F310EE" w14:paraId="7C57DB32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5BFDC60C" w14:textId="67C2FB13" w:rsidR="003C5577" w:rsidRPr="00ED2550" w:rsidRDefault="003C5577" w:rsidP="003C5577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Готові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харчовi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продукти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1A3AA61" w14:textId="3E2702EF" w:rsidR="003C5577" w:rsidRPr="00ED2550" w:rsidRDefault="003C5577" w:rsidP="003C557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IV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ECC13EB" w14:textId="65557630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138,5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624FF8E" w14:textId="1AA3EEF9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102,6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6CB4B0" w14:textId="1E1390A3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95CB66E" w14:textId="6FA0904F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259,3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CF626B" w14:textId="7DCD1165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118,6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2FF6F25" w14:textId="3F2142B5" w:rsidR="003C5577" w:rsidRPr="005254D5" w:rsidRDefault="003C5577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5,8</w:t>
            </w:r>
          </w:p>
        </w:tc>
      </w:tr>
      <w:tr w:rsidR="00046E33" w:rsidRPr="00F310EE" w14:paraId="48CE8465" w14:textId="77777777" w:rsidTr="005254D5">
        <w:trPr>
          <w:trHeight w:val="255"/>
        </w:trPr>
        <w:tc>
          <w:tcPr>
            <w:tcW w:w="2410" w:type="dxa"/>
            <w:vAlign w:val="bottom"/>
          </w:tcPr>
          <w:p w14:paraId="2ABFEC70" w14:textId="79A86E67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FDE473A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D5F3AF0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964CBE0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AEE1D2D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BE22828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E2B5415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F458365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CC6D88" w:rsidRPr="00F310EE" w14:paraId="40E07A00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0D71FE3C" w14:textId="4DA04E9E" w:rsidR="00CC6D88" w:rsidRPr="00ED2550" w:rsidRDefault="00CC6D88" w:rsidP="00CC6D88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готові продукти із зерна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93308F4" w14:textId="19F4DE24" w:rsidR="00CC6D88" w:rsidRPr="00ED2550" w:rsidRDefault="00CC6D88" w:rsidP="00CC6D88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EB6B94" w14:textId="1AEA1879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40,5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38AFF09" w14:textId="21B9917C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113,2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66AFD2" w14:textId="670EF3D6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2,8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C73E3EE" w14:textId="43AD3A43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26,1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FBF6BB" w14:textId="67A0F281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149,0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1353289" w14:textId="24843AB9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0,6</w:t>
            </w:r>
          </w:p>
        </w:tc>
      </w:tr>
      <w:tr w:rsidR="00CC6D88" w:rsidRPr="00F310EE" w14:paraId="561218EF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0CDE117C" w14:textId="751F6C84" w:rsidR="00CC6D88" w:rsidRPr="00046E33" w:rsidRDefault="00CC6D88" w:rsidP="00CC6D88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57725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алкогольнi</w:t>
            </w:r>
            <w:proofErr w:type="spellEnd"/>
            <w:r w:rsidRPr="0057725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i </w:t>
            </w:r>
            <w:proofErr w:type="spellStart"/>
            <w:r w:rsidRPr="0057725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безалкогольнi</w:t>
            </w:r>
            <w:proofErr w:type="spellEnd"/>
            <w:r w:rsidRPr="0057725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напої та оцет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E517214" w14:textId="2AA41DFE" w:rsidR="00CC6D88" w:rsidRPr="0057725C" w:rsidRDefault="00CC6D88" w:rsidP="00CC6D88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22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922D4D" w14:textId="39186D56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35,7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E0BA1D" w14:textId="792759AD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174,1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F50CDE4" w14:textId="75A82F17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9F77820" w14:textId="50237F43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5C8245D" w14:textId="7CD61B8E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126,5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27DB3A" w14:textId="3CEC1E35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0,6</w:t>
            </w:r>
          </w:p>
        </w:tc>
      </w:tr>
      <w:tr w:rsidR="00CC6D88" w:rsidRPr="00F310EE" w14:paraId="220468AF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340377B2" w14:textId="61FABD47" w:rsidR="00CC6D88" w:rsidRPr="00ED2550" w:rsidRDefault="00CC6D88" w:rsidP="00CC6D88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Мiнеральнi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продукти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0413BA77" w14:textId="6B3C4174" w:rsidR="00CC6D88" w:rsidRPr="00ED2550" w:rsidRDefault="00CC6D88" w:rsidP="00CC6D88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E50FB2" w14:textId="7B54B4C9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597D671" w14:textId="7BA88431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187,6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D0A5810" w14:textId="0AE451B4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2,7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0E11B55" w14:textId="741F0A47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66,4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E24439" w14:textId="65DA4638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54,3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602F53" w14:textId="01C4B913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1,5</w:t>
            </w:r>
          </w:p>
        </w:tc>
      </w:tr>
      <w:tr w:rsidR="00046E33" w:rsidRPr="00F310EE" w14:paraId="1ADBEE47" w14:textId="77777777" w:rsidTr="005254D5">
        <w:trPr>
          <w:trHeight w:val="255"/>
        </w:trPr>
        <w:tc>
          <w:tcPr>
            <w:tcW w:w="2410" w:type="dxa"/>
            <w:vAlign w:val="bottom"/>
          </w:tcPr>
          <w:p w14:paraId="703F83B0" w14:textId="01A7F83B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4FABE2E9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02CD4BF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2EA5D88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4130273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851B9AA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24C77F7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AA303F7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CC6D88" w:rsidRPr="00F310EE" w14:paraId="5E190196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77D23DE3" w14:textId="23EA90EE" w:rsidR="00CC6D88" w:rsidRPr="00ED2550" w:rsidRDefault="00CC6D88" w:rsidP="00CC6D88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79D2F9D" w14:textId="78C6B55A" w:rsidR="00CC6D88" w:rsidRPr="00ED2550" w:rsidRDefault="00CC6D88" w:rsidP="00CC6D88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388781" w14:textId="74E2F654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38,4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7B3482A" w14:textId="4210E7E8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188,1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3E4471A" w14:textId="1D9D7EA2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2,7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788941A" w14:textId="3E0FCE0A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60,7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DA67340" w14:textId="7F603084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52,8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5A034DE" w14:textId="283244D2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1,4</w:t>
            </w:r>
          </w:p>
        </w:tc>
      </w:tr>
      <w:tr w:rsidR="00CC6D88" w:rsidRPr="00F310EE" w14:paraId="3CA6424D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1D7D1927" w14:textId="7A28408E" w:rsidR="00CC6D88" w:rsidRPr="00ED2550" w:rsidRDefault="00CC6D88" w:rsidP="00CC6D88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Продукцiя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хiмiчної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та пов'язаних з нею галузей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промисловостi</w:t>
            </w:r>
            <w:proofErr w:type="spellEnd"/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33AB3AC" w14:textId="75417DBF" w:rsidR="00CC6D88" w:rsidRPr="00ED2550" w:rsidRDefault="00CC6D88" w:rsidP="00CC6D88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0BCAC3" w14:textId="2B86F259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91,7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56E8FA8" w14:textId="730C13CD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127,3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89DA52" w14:textId="316086A6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6,4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898822" w14:textId="5F1A6CCA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582,7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3383C12" w14:textId="13CC5D19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109,6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F654F77" w14:textId="221C4826" w:rsidR="00CC6D88" w:rsidRPr="005254D5" w:rsidRDefault="00CC6D88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13,0</w:t>
            </w:r>
          </w:p>
        </w:tc>
      </w:tr>
      <w:tr w:rsidR="00046E33" w:rsidRPr="00F310EE" w14:paraId="113CEFD6" w14:textId="77777777" w:rsidTr="005254D5">
        <w:trPr>
          <w:trHeight w:val="255"/>
        </w:trPr>
        <w:tc>
          <w:tcPr>
            <w:tcW w:w="2410" w:type="dxa"/>
            <w:vAlign w:val="bottom"/>
          </w:tcPr>
          <w:p w14:paraId="310DA0FD" w14:textId="6C81F375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72E5E94B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7933C4D9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213BA88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9E7DD6E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F269FA0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77C68EB8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75E21A2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335044" w:rsidRPr="00F310EE" w14:paraId="109CC36A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1E5EC396" w14:textId="5065BF12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фармацевтична продукція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4820293" w14:textId="6A600135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30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AA98AE7" w14:textId="36A49F1A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80,2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42C763" w14:textId="6478723F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137,2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DE80A63" w14:textId="7BC3D7DD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E3679C" w14:textId="233D3897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134,7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40A9806" w14:textId="7EB0C3B5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101,2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76FB8B" w14:textId="5E50E233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3,0</w:t>
            </w:r>
          </w:p>
        </w:tc>
      </w:tr>
      <w:tr w:rsidR="00335044" w:rsidRPr="00F310EE" w14:paraId="357FC71D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0B06C301" w14:textId="46F640C1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Полімерні матеріали, пластмаси та вироби з них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D73B8DC" w14:textId="701F0C18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B878BF0" w14:textId="7ED5F0B2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36,6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A1062FC" w14:textId="707FD3CC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81,7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1B22D80" w14:textId="72ED321E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8833B6" w14:textId="10A8903A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266,1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334870B" w14:textId="2DB1C721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107,8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2D64C6" w14:textId="18311076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5,9</w:t>
            </w:r>
          </w:p>
        </w:tc>
      </w:tr>
      <w:tr w:rsidR="00046E33" w:rsidRPr="00F310EE" w14:paraId="3CFA9913" w14:textId="77777777" w:rsidTr="005254D5">
        <w:trPr>
          <w:trHeight w:val="255"/>
        </w:trPr>
        <w:tc>
          <w:tcPr>
            <w:tcW w:w="2410" w:type="dxa"/>
            <w:vAlign w:val="bottom"/>
          </w:tcPr>
          <w:p w14:paraId="4357A643" w14:textId="721FE8B4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4922D9C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6EC8846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7B34ADA8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EF70A22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64C76D1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E77202B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B19EF35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335044" w:rsidRPr="00F310EE" w14:paraId="02407673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63DFB97C" w14:textId="4D2F487C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пластмаси, полімерні матеріали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8DBC395" w14:textId="29FCAA12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1EAF66F" w14:textId="27D41BDA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24,6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DFCC8DA" w14:textId="0F3D41D4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119,1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B24CCF" w14:textId="3C132E5E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1,7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394D2E" w14:textId="46E6A982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190,5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552CF73" w14:textId="1A01C682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111,4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4ED64CA" w14:textId="51291A61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4,2</w:t>
            </w:r>
          </w:p>
        </w:tc>
      </w:tr>
      <w:tr w:rsidR="00335044" w:rsidRPr="00F310EE" w14:paraId="02C7F5B0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4A6EBAAD" w14:textId="5D153307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4FC4C2D" w14:textId="1153801E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031F35" w14:textId="6DDF9554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3,4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D10B52" w14:textId="3570A211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43,2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6AC252E" w14:textId="3D06250B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51B07C3" w14:textId="2FC7D9AF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5,2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05AA91" w14:textId="20F6DB61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53,7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6D57A3" w14:textId="394AD2AF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</w:tr>
      <w:tr w:rsidR="00335044" w:rsidRPr="00F310EE" w14:paraId="3185B92A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19995A12" w14:textId="4B66B9F1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Деревина і вироби з деревини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2B211492" w14:textId="3EF8317C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IX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F1EE913" w14:textId="58C6FD59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31,3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FE0550B" w14:textId="64F23245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107,6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C2B6A59" w14:textId="3A7F7355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89BD2FD" w14:textId="46785DCB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CFA1B16" w14:textId="12B30D64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101,1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1EDF967" w14:textId="7A15643B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</w:tr>
      <w:tr w:rsidR="00335044" w:rsidRPr="00F310EE" w14:paraId="7C27C2E3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731DA87B" w14:textId="528F4134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3D55C96" w14:textId="5CC55BF4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B4DC188" w14:textId="12C57553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23,6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064C7C" w14:textId="3C32AB99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89,7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B0EEDD" w14:textId="7EEDDA21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C86880" w14:textId="05D6241F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93,0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A5DFCFE" w14:textId="03345DC1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107,6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2BF9E46" w14:textId="0AFD7A33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2,1</w:t>
            </w:r>
          </w:p>
        </w:tc>
      </w:tr>
      <w:tr w:rsidR="00046E33" w:rsidRPr="00F310EE" w14:paraId="55E830D2" w14:textId="77777777" w:rsidTr="005254D5">
        <w:trPr>
          <w:trHeight w:val="255"/>
        </w:trPr>
        <w:tc>
          <w:tcPr>
            <w:tcW w:w="2410" w:type="dxa"/>
            <w:vAlign w:val="bottom"/>
          </w:tcPr>
          <w:p w14:paraId="5F2A211B" w14:textId="1A658758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E44F28C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619E882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0AF9A29D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5E01D48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1D00822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44D4C3F0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16DA1E2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335044" w:rsidRPr="00F310EE" w14:paraId="41CE7A8A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52DFAF2F" w14:textId="4405FD6E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папiр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та картон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A50855B" w14:textId="34D84339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48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18E880" w14:textId="29593AB1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23,5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9C3452" w14:textId="5F2D7210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89,6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F8FDBA5" w14:textId="6D7DC0E0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EA2913" w14:textId="0C5D5541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71,9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E369977" w14:textId="739C4619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110,0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AA42B8" w14:textId="4D3A22B8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1,6</w:t>
            </w:r>
          </w:p>
        </w:tc>
      </w:tr>
      <w:tr w:rsidR="00335044" w:rsidRPr="00F310EE" w14:paraId="4E3865B4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62761AAD" w14:textId="6797A883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Текстильні матеріали та текстильні вироби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7EA5CE0" w14:textId="40289C61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4F9EB26" w14:textId="6AB502DE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9,2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BEC841" w14:textId="3D3BF629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66,2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1528FA" w14:textId="405F51DF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D1BD9D" w14:textId="23D49CB9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66,2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363EBC0" w14:textId="2E8D2E57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70,8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581C0A" w14:textId="79377DDE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1,5</w:t>
            </w:r>
          </w:p>
        </w:tc>
      </w:tr>
    </w:tbl>
    <w:p w14:paraId="4062C881" w14:textId="4DB3BBAF" w:rsidR="00FD4330" w:rsidRPr="008337BD" w:rsidRDefault="008337BD" w:rsidP="008337BD">
      <w:pPr>
        <w:spacing w:after="20"/>
        <w:ind w:right="-143"/>
        <w:jc w:val="right"/>
        <w:rPr>
          <w:lang w:val="en-US"/>
        </w:rPr>
      </w:pPr>
      <w:proofErr w:type="spellStart"/>
      <w:r w:rsidRPr="00344D00">
        <w:rPr>
          <w:rFonts w:asciiTheme="minorHAnsi" w:hAnsiTheme="minorHAnsi" w:cstheme="minorHAnsi"/>
          <w:color w:val="22517D"/>
          <w:lang w:val="ru-RU"/>
        </w:rPr>
        <w:lastRenderedPageBreak/>
        <w:t>Продовження</w:t>
      </w:r>
      <w:proofErr w:type="spellEnd"/>
      <w:r w:rsidRPr="00344D00">
        <w:rPr>
          <w:rFonts w:asciiTheme="minorHAnsi" w:hAnsiTheme="minorHAnsi" w:cstheme="minorHAnsi"/>
          <w:color w:val="22517D"/>
          <w:lang w:val="ru-RU"/>
        </w:rPr>
        <w:t xml:space="preserve"> </w:t>
      </w:r>
      <w:proofErr w:type="spellStart"/>
      <w:r w:rsidRPr="00344D00">
        <w:rPr>
          <w:rFonts w:asciiTheme="minorHAnsi" w:hAnsiTheme="minorHAnsi" w:cstheme="minorHAnsi"/>
          <w:color w:val="22517D"/>
          <w:lang w:val="ru-RU"/>
        </w:rPr>
        <w:t>додатка</w:t>
      </w:r>
      <w:proofErr w:type="spellEnd"/>
      <w:r w:rsidRPr="00344D00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en-US"/>
        </w:rPr>
        <w:t>2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999"/>
        <w:gridCol w:w="43"/>
        <w:gridCol w:w="1204"/>
        <w:gridCol w:w="1109"/>
        <w:gridCol w:w="971"/>
        <w:gridCol w:w="1247"/>
        <w:gridCol w:w="1109"/>
      </w:tblGrid>
      <w:tr w:rsidR="00FD4330" w:rsidRPr="00ED2550" w14:paraId="1ECFDF9C" w14:textId="77777777" w:rsidTr="00AB6E35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14:paraId="05CB0053" w14:textId="77777777" w:rsidR="00FD4330" w:rsidRPr="00ED2550" w:rsidRDefault="00FD4330" w:rsidP="00AB6E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D83084" w14:textId="77777777" w:rsidR="00FD4330" w:rsidRPr="00ED2550" w:rsidRDefault="00FD4330" w:rsidP="00AB6E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14:paraId="1BCA12EB" w14:textId="77777777" w:rsidR="00FD4330" w:rsidRPr="00ED2550" w:rsidRDefault="00FD4330" w:rsidP="00AB6E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4"/>
            <w:shd w:val="clear" w:color="auto" w:fill="DDEEFE"/>
            <w:vAlign w:val="center"/>
          </w:tcPr>
          <w:p w14:paraId="3244887B" w14:textId="77777777" w:rsidR="00FD4330" w:rsidRPr="00ED2550" w:rsidRDefault="00FD4330" w:rsidP="00AB6E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0A3498A0" w14:textId="77777777" w:rsidR="00FD4330" w:rsidRPr="00ED2550" w:rsidRDefault="00FD4330" w:rsidP="00AB6E3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8B197D" w:rsidRPr="00ED2550" w14:paraId="428543F1" w14:textId="77777777" w:rsidTr="00BF6A3B">
        <w:trPr>
          <w:trHeight w:val="283"/>
        </w:trPr>
        <w:tc>
          <w:tcPr>
            <w:tcW w:w="2410" w:type="dxa"/>
            <w:vMerge/>
            <w:shd w:val="clear" w:color="auto" w:fill="DDEEFE"/>
            <w:vAlign w:val="center"/>
          </w:tcPr>
          <w:p w14:paraId="27C220F7" w14:textId="77777777" w:rsidR="008B197D" w:rsidRPr="00ED2550" w:rsidRDefault="008B197D" w:rsidP="008B197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14:paraId="5D776D89" w14:textId="77777777" w:rsidR="008B197D" w:rsidRPr="00ED2550" w:rsidRDefault="008B197D" w:rsidP="008B197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9B1F763" w14:textId="77777777" w:rsidR="008B197D" w:rsidRPr="00ED2550" w:rsidRDefault="008B197D" w:rsidP="008B197D">
            <w:pPr>
              <w:spacing w:line="24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04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4B6C69E8" w14:textId="635CD97E" w:rsidR="008B197D" w:rsidRPr="00ED2550" w:rsidRDefault="008B197D" w:rsidP="008B197D">
            <w:pPr>
              <w:spacing w:line="240" w:lineRule="exact"/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273752C8" w14:textId="77777777" w:rsidR="008B197D" w:rsidRPr="00ED2550" w:rsidRDefault="008B197D" w:rsidP="008B197D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06F7DA1" w14:textId="77777777" w:rsidR="008B197D" w:rsidRPr="00ED2550" w:rsidRDefault="008B197D" w:rsidP="008B197D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0AF27F32" w14:textId="20333B18" w:rsidR="008B197D" w:rsidRPr="00ED2550" w:rsidRDefault="008B197D" w:rsidP="008B197D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14064A74" w14:textId="7C7A6E8A" w:rsidR="008B197D" w:rsidRPr="00ED2550" w:rsidRDefault="008B197D" w:rsidP="008B197D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млн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47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5062FAD6" w14:textId="245B6D34" w:rsidR="008B197D" w:rsidRPr="00ED2550" w:rsidRDefault="008B197D" w:rsidP="008B197D">
            <w:pPr>
              <w:spacing w:line="240" w:lineRule="exact"/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</w:t>
            </w:r>
            <w:r w:rsidRPr="006C4CD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2F5496" w:themeColor="accent1" w:themeShade="BF"/>
            </w:tcBorders>
            <w:shd w:val="clear" w:color="auto" w:fill="DDEEFE"/>
            <w:vAlign w:val="center"/>
          </w:tcPr>
          <w:p w14:paraId="003DD483" w14:textId="77777777" w:rsidR="008B197D" w:rsidRPr="00ED2550" w:rsidRDefault="008B197D" w:rsidP="008B197D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5F0E673A" w14:textId="77777777" w:rsidR="008B197D" w:rsidRPr="00ED2550" w:rsidRDefault="008B197D" w:rsidP="008B197D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9AFA68" w14:textId="77777777" w:rsidR="008B197D" w:rsidRPr="00ED2550" w:rsidRDefault="008B197D" w:rsidP="008B197D">
            <w:pPr>
              <w:spacing w:line="24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335044" w:rsidRPr="00F310EE" w14:paraId="16482FC7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700C5B65" w14:textId="628CA54F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Взуття, головні убори, парасольки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251B2BAD" w14:textId="48AEB1B9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ХIІ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E675A9A" w14:textId="1B2884A0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E0B75BF" w14:textId="7C74A99D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74,2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8B11C3F" w14:textId="229BF4C8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D955A1A" w14:textId="540A632A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6,9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5AE80A5" w14:textId="2D8B192D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37,5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28A14AE" w14:textId="4C51A1CC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</w:tr>
      <w:tr w:rsidR="00335044" w:rsidRPr="00F310EE" w14:paraId="00BF694A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354890DF" w14:textId="70E4E0DE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Вироби з каменю,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гiпсу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 цементу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BEA8D0F" w14:textId="17939C9D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0324E51" w14:textId="71891EFB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36,6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4F35969" w14:textId="34768184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117,7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B9DEC5" w14:textId="41536205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3A40C4D" w14:textId="36E43514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29,1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78AC8E" w14:textId="6BD5233E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109,5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80A179" w14:textId="6AB5FFB3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0,6</w:t>
            </w:r>
          </w:p>
        </w:tc>
      </w:tr>
      <w:tr w:rsidR="00335044" w:rsidRPr="00F310EE" w14:paraId="34C9C84E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12B68ECB" w14:textId="14EBDF2C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Перли природні або культивовані, дорогоцінне або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напівдорогоцінне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каміння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0090AABC" w14:textId="37DD4DF0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XIV.71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F2AF7C" w14:textId="4D86D0F2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0,8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14302F0" w14:textId="480AB1B9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88,8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D47CCB" w14:textId="5D50EFEE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CC435C9" w14:textId="0511629E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E504925" w14:textId="0701031F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46,0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912E437" w14:textId="4CE166D2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</w:tr>
      <w:tr w:rsidR="00335044" w:rsidRPr="00F310EE" w14:paraId="10B0F190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00E744EF" w14:textId="4003B772" w:rsidR="00335044" w:rsidRPr="00ED2550" w:rsidRDefault="00335044" w:rsidP="00335044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Недорогоцінні метали та вироби з них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434C305C" w14:textId="69A16049" w:rsidR="00335044" w:rsidRPr="00ED2550" w:rsidRDefault="00335044" w:rsidP="0033504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E8015A" w14:textId="504B3607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48,0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B88CD62" w14:textId="70648787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68,1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A3C13D3" w14:textId="5BB02FD7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3,3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D15CB8" w14:textId="1128373B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334,3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DEDB3A" w14:textId="4EDB8A08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104,6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78D3ED9" w14:textId="574B2634" w:rsidR="00335044" w:rsidRPr="005254D5" w:rsidRDefault="00335044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7,4</w:t>
            </w:r>
          </w:p>
        </w:tc>
      </w:tr>
      <w:tr w:rsidR="00046E33" w:rsidRPr="00F310EE" w14:paraId="38EFC636" w14:textId="77777777" w:rsidTr="005254D5">
        <w:trPr>
          <w:trHeight w:val="255"/>
        </w:trPr>
        <w:tc>
          <w:tcPr>
            <w:tcW w:w="2410" w:type="dxa"/>
            <w:vAlign w:val="bottom"/>
          </w:tcPr>
          <w:p w14:paraId="33735835" w14:textId="6EF7C27C" w:rsidR="00046E33" w:rsidRPr="00ED2550" w:rsidRDefault="00046E33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B0BCAF5" w14:textId="77777777" w:rsidR="00046E33" w:rsidRPr="00ED2550" w:rsidRDefault="00046E33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3E7613D0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52E2E150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64EA903A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15ABFCEE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0212F39B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vAlign w:val="bottom"/>
          </w:tcPr>
          <w:p w14:paraId="2C183D2E" w14:textId="77777777" w:rsidR="00046E33" w:rsidRPr="005254D5" w:rsidRDefault="00046E3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1C4563" w:rsidRPr="00F310EE" w14:paraId="79C72F7C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6CD7C3F1" w14:textId="31ECF374" w:rsidR="001C4563" w:rsidRPr="00ED2550" w:rsidRDefault="001C4563" w:rsidP="001C4563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алюмiнiй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i вироби з нього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2C84F055" w14:textId="6A446BE6" w:rsidR="001C4563" w:rsidRPr="00ED2550" w:rsidRDefault="001C4563" w:rsidP="001C4563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76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304C96B" w14:textId="0B63740B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9AFCDDC" w14:textId="01676E6A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76,3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8794F69" w14:textId="7803969F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0E83B80" w14:textId="3CB641DB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99,3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3F547F" w14:textId="370949BF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102,5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099726A" w14:textId="7A5F0065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2,2</w:t>
            </w:r>
          </w:p>
        </w:tc>
      </w:tr>
      <w:tr w:rsidR="001C4563" w:rsidRPr="00F310EE" w14:paraId="2183150B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6CB46160" w14:textId="5DEC50B0" w:rsidR="001C4563" w:rsidRPr="00ED2550" w:rsidRDefault="001C4563" w:rsidP="001C4563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Машини, обладнання та механізми; електротехнічне обладнання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5F0890A4" w14:textId="4DE04CA0" w:rsidR="001C4563" w:rsidRPr="00ED2550" w:rsidRDefault="001C4563" w:rsidP="001C4563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6A1CBA7" w14:textId="54F9E4E0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96,2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80EAAF8" w14:textId="11CE40B7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112,1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5C1DC1D" w14:textId="30957011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6,7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9260D37" w14:textId="6FF90FDE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1176,8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3D5D829" w14:textId="40E2B3BB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166,2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D28D49" w14:textId="5415DEFB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26,2</w:t>
            </w:r>
          </w:p>
        </w:tc>
      </w:tr>
      <w:tr w:rsidR="001C4563" w:rsidRPr="00F310EE" w14:paraId="77B89D9D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2BE543CE" w14:textId="30E8640D" w:rsidR="001C4563" w:rsidRPr="00ED2550" w:rsidRDefault="001C4563" w:rsidP="001C4563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566F993" w14:textId="5E531CF7" w:rsidR="001C4563" w:rsidRPr="00ED2550" w:rsidRDefault="001C4563" w:rsidP="001C4563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84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A8137AC" w14:textId="6618190D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28,9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A418EF6" w14:textId="4585E7B5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132,6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016462B" w14:textId="3D16D861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2,0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18E8814" w14:textId="3077E1F9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591,9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076AC5" w14:textId="0224D40B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129,1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B97C04A" w14:textId="59E76184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13,2</w:t>
            </w:r>
          </w:p>
        </w:tc>
      </w:tr>
      <w:tr w:rsidR="001C4563" w:rsidRPr="00F310EE" w14:paraId="091ED03E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1BCC1832" w14:textId="358B0C31" w:rsidR="001C4563" w:rsidRPr="00ED2550" w:rsidRDefault="001C4563" w:rsidP="001C4563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електричнi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машини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7FC8FB05" w14:textId="325F9330" w:rsidR="001C4563" w:rsidRPr="00ED2550" w:rsidRDefault="001C4563" w:rsidP="001C4563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52EC3F" w14:textId="1C94F5A6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67,3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3E096C" w14:textId="19A0B2FB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105,2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FC5A97" w14:textId="44FEFA36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4,7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E2C0B21" w14:textId="04D1B7D9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585,0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B3B446" w14:textId="7C86A538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234,3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B17BF9D" w14:textId="547D47AF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13,0</w:t>
            </w:r>
          </w:p>
        </w:tc>
      </w:tr>
      <w:tr w:rsidR="001C4563" w:rsidRPr="00F310EE" w14:paraId="12546914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042F2622" w14:textId="179E54AF" w:rsidR="001C4563" w:rsidRPr="00ED2550" w:rsidRDefault="001C4563" w:rsidP="001C4563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FD6A61E" w14:textId="3023728D" w:rsidR="001C4563" w:rsidRPr="00ED2550" w:rsidRDefault="001C4563" w:rsidP="001C4563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8AF967B" w14:textId="6533E59B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16,8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32CAE65" w14:textId="12FC4DC4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188,7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42B3DFE" w14:textId="7440259A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9F6294B" w14:textId="5BEF7722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917,7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39AEB01" w14:textId="0CBA4CAA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101,9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9364726" w14:textId="621BCC27" w:rsidR="001C4563" w:rsidRPr="005254D5" w:rsidRDefault="001C4563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20,4</w:t>
            </w:r>
          </w:p>
        </w:tc>
      </w:tr>
      <w:tr w:rsidR="0087618D" w:rsidRPr="00F310EE" w14:paraId="61169F66" w14:textId="77777777" w:rsidTr="005254D5">
        <w:trPr>
          <w:trHeight w:val="255"/>
        </w:trPr>
        <w:tc>
          <w:tcPr>
            <w:tcW w:w="2410" w:type="dxa"/>
            <w:vAlign w:val="bottom"/>
          </w:tcPr>
          <w:p w14:paraId="3E0F3AFE" w14:textId="5AEE4ECF" w:rsidR="0087618D" w:rsidRPr="00ED2550" w:rsidRDefault="0087618D" w:rsidP="007340A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6956FA89" w14:textId="77777777" w:rsidR="0087618D" w:rsidRPr="00ED2550" w:rsidRDefault="0087618D" w:rsidP="007340A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8D658EC" w14:textId="52BC8791" w:rsidR="0087618D" w:rsidRPr="005254D5" w:rsidRDefault="0087618D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21E38F0" w14:textId="5E8295DF" w:rsidR="0087618D" w:rsidRPr="005254D5" w:rsidRDefault="0087618D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C7B3BE9" w14:textId="569CF57D" w:rsidR="0087618D" w:rsidRPr="005254D5" w:rsidRDefault="0087618D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EB622A0" w14:textId="50B8A4F4" w:rsidR="0087618D" w:rsidRPr="005254D5" w:rsidRDefault="0087618D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C5B2AD2" w14:textId="7147208D" w:rsidR="0087618D" w:rsidRPr="005254D5" w:rsidRDefault="0087618D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08673D6" w14:textId="7418AA38" w:rsidR="0087618D" w:rsidRPr="005254D5" w:rsidRDefault="0087618D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024EFA" w:rsidRPr="00F310EE" w14:paraId="072C6AA6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14DEC588" w14:textId="03522EE6" w:rsidR="00024EFA" w:rsidRPr="00ED2550" w:rsidRDefault="00024EFA" w:rsidP="00024EFA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засоби наземного транспорту,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крiм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залізничного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414CBB9D" w14:textId="02DDDCEA" w:rsidR="00024EFA" w:rsidRPr="00ED2550" w:rsidRDefault="00024EFA" w:rsidP="00024EFA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87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7C63B45" w14:textId="24856D21" w:rsidR="00024EFA" w:rsidRPr="005254D5" w:rsidRDefault="00024EF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6,7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ADC999C" w14:textId="2DB83EEA" w:rsidR="00024EFA" w:rsidRPr="005254D5" w:rsidRDefault="00024EF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264,1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BFDE3D2" w14:textId="10526C21" w:rsidR="00024EFA" w:rsidRPr="005254D5" w:rsidRDefault="00024EF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619A337" w14:textId="450AEEA7" w:rsidR="00024EFA" w:rsidRPr="005254D5" w:rsidRDefault="00024EF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855,6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0974A19" w14:textId="4F724D24" w:rsidR="00024EFA" w:rsidRPr="005254D5" w:rsidRDefault="00024EF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108,6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702881D" w14:textId="6F063B10" w:rsidR="00024EFA" w:rsidRPr="005254D5" w:rsidRDefault="00024EFA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19,0</w:t>
            </w:r>
          </w:p>
        </w:tc>
      </w:tr>
      <w:tr w:rsidR="005E4702" w:rsidRPr="00F310EE" w14:paraId="55703FD9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7FEFC743" w14:textId="1470A8B2" w:rsidR="005E4702" w:rsidRPr="00ED2550" w:rsidRDefault="005E4702" w:rsidP="005E4702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Прилади та апарати </w:t>
            </w: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оптичнi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 фотографічні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2CBC455C" w14:textId="41047B2B" w:rsidR="005E4702" w:rsidRPr="00ED2550" w:rsidRDefault="005E4702" w:rsidP="005E470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DBDA32D" w14:textId="2C76AB52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F29DD7F" w14:textId="5F972C73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42,4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233D69" w14:textId="45911271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F7AAC0" w14:textId="697D4AA5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86,7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65E7E22" w14:textId="06A594BB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132,2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219DE42" w14:textId="194775EB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1,9</w:t>
            </w:r>
          </w:p>
        </w:tc>
      </w:tr>
      <w:tr w:rsidR="005E4702" w:rsidRPr="00F310EE" w14:paraId="71B55F73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4D471C6E" w14:textId="63F5EFE9" w:rsidR="005E4702" w:rsidRPr="00ED2550" w:rsidRDefault="005E4702" w:rsidP="005E4702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Рiзнi</w:t>
            </w:r>
            <w:proofErr w:type="spellEnd"/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промислові товари 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C1A7BBB" w14:textId="6D01BCB8" w:rsidR="005E4702" w:rsidRPr="00ED2550" w:rsidRDefault="005E4702" w:rsidP="005E470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ХX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F09919E" w14:textId="0B535BED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43,8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D244EB1" w14:textId="17FA4C32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90,8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44EB8C2E" w14:textId="7849DD5F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3,0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B6D9D2D" w14:textId="44BE8317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50,2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733805E" w14:textId="5BB7F3AD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89,6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DD078C0" w14:textId="3B0C2A63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1,1</w:t>
            </w:r>
          </w:p>
        </w:tc>
      </w:tr>
      <w:tr w:rsidR="005E4702" w:rsidRPr="00F310EE" w14:paraId="49A7EB9A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4D217B51" w14:textId="76B1E171" w:rsidR="005E4702" w:rsidRPr="00ED2550" w:rsidRDefault="005E4702" w:rsidP="005E4702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46E33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Твори мистецтва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1884B46F" w14:textId="21229CF8" w:rsidR="005E4702" w:rsidRPr="00ED2550" w:rsidRDefault="005E4702" w:rsidP="005E470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3056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ХХІ. 97</w:t>
            </w: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60AD048" w14:textId="167C7511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7E51858" w14:textId="3FA3DD80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14,1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AE3DF09" w14:textId="19C73893" w:rsidR="005E4702" w:rsidRPr="005254D5" w:rsidRDefault="00451CFB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62F0016F" w14:textId="0A205AE7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2C73DCC3" w14:textId="164C14EE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73E8EBB8" w14:textId="3878AFEB" w:rsidR="005E4702" w:rsidRPr="005254D5" w:rsidRDefault="00451CFB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</w:tr>
      <w:tr w:rsidR="005E4702" w:rsidRPr="00F310EE" w14:paraId="7DBC4CFF" w14:textId="77777777" w:rsidTr="00BF6A3B">
        <w:trPr>
          <w:trHeight w:val="255"/>
        </w:trPr>
        <w:tc>
          <w:tcPr>
            <w:tcW w:w="2410" w:type="dxa"/>
            <w:vAlign w:val="bottom"/>
          </w:tcPr>
          <w:p w14:paraId="5255B302" w14:textId="608C910A" w:rsidR="005E4702" w:rsidRPr="00ED2550" w:rsidRDefault="005E4702" w:rsidP="005E4702">
            <w:pP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овари, придбані в портах</w:t>
            </w:r>
          </w:p>
        </w:tc>
        <w:tc>
          <w:tcPr>
            <w:tcW w:w="943" w:type="dxa"/>
            <w:tcBorders>
              <w:right w:val="single" w:sz="4" w:space="0" w:color="2F5496" w:themeColor="accent1" w:themeShade="BF"/>
            </w:tcBorders>
            <w:vAlign w:val="bottom"/>
          </w:tcPr>
          <w:p w14:paraId="3CC13B81" w14:textId="77777777" w:rsidR="005E4702" w:rsidRPr="00ED2550" w:rsidRDefault="005E4702" w:rsidP="005E4702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2F5496" w:themeColor="accent1" w:themeShade="BF"/>
              <w:left w:val="nil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C148D4B" w14:textId="6B637E40" w:rsidR="005E4702" w:rsidRPr="005254D5" w:rsidRDefault="00451CFB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47" w:type="dxa"/>
            <w:gridSpan w:val="2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1B7D5063" w14:textId="1206B24E" w:rsidR="005E4702" w:rsidRPr="005254D5" w:rsidRDefault="00451CFB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181AD26" w14:textId="78D5D130" w:rsidR="005E4702" w:rsidRPr="005254D5" w:rsidRDefault="00451CFB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71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6DC53B5" w14:textId="30074722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3,6</w:t>
            </w:r>
          </w:p>
        </w:tc>
        <w:tc>
          <w:tcPr>
            <w:tcW w:w="1247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D843CD7" w14:textId="2240A2BE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101,7</w:t>
            </w:r>
          </w:p>
        </w:tc>
        <w:tc>
          <w:tcPr>
            <w:tcW w:w="1109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351EE823" w14:textId="24B02020" w:rsidR="005E4702" w:rsidRPr="005254D5" w:rsidRDefault="005E4702" w:rsidP="005254D5">
            <w:pPr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5254D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</w:tr>
    </w:tbl>
    <w:p w14:paraId="620B8C87" w14:textId="12C7DEFA" w:rsidR="002922A6" w:rsidRPr="003D03D1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14:paraId="62F75E99" w14:textId="2439C0CF" w:rsidR="001761BA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660EE1DD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sectPr w:rsidR="001761BA" w:rsidSect="0043435C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4E73E" w14:textId="77777777" w:rsidR="00024EFA" w:rsidRDefault="00024EFA" w:rsidP="005345A4">
      <w:r>
        <w:separator/>
      </w:r>
    </w:p>
  </w:endnote>
  <w:endnote w:type="continuationSeparator" w:id="0">
    <w:p w14:paraId="2FE35479" w14:textId="77777777" w:rsidR="00024EFA" w:rsidRDefault="00024EFA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Content>
      <w:p w14:paraId="02DA9CFF" w14:textId="77777777" w:rsidR="00024EFA" w:rsidRDefault="00024EFA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Content>
      <w:p w14:paraId="17C5A088" w14:textId="77777777" w:rsidR="00024EFA" w:rsidRDefault="00024EFA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024EFA" w:rsidRDefault="00024EFA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473027550"/>
      <w:docPartObj>
        <w:docPartGallery w:val="Page Numbers (Bottom of Page)"/>
        <w:docPartUnique/>
      </w:docPartObj>
    </w:sdtPr>
    <w:sdtContent>
      <w:p w14:paraId="2245BC19" w14:textId="77777777" w:rsidR="00024EFA" w:rsidRPr="00A859E3" w:rsidRDefault="00024EFA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024EFA" w:rsidRDefault="00024EFA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Content>
      <w:p w14:paraId="7CD3B4F0" w14:textId="77777777" w:rsidR="00024EFA" w:rsidRDefault="00024EFA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Content>
      <w:p w14:paraId="60D155C5" w14:textId="77777777" w:rsidR="00024EFA" w:rsidRDefault="00024EFA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024EFA" w:rsidRDefault="00024EFA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Content>
      <w:p w14:paraId="55BAA558" w14:textId="46AEB14C" w:rsidR="00024EFA" w:rsidRPr="00A859E3" w:rsidRDefault="00024EFA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29511E">
          <w:rPr>
            <w:rStyle w:val="af6"/>
            <w:rFonts w:asciiTheme="minorHAnsi" w:hAnsiTheme="minorHAnsi" w:cstheme="minorHAnsi"/>
            <w:noProof/>
            <w:color w:val="B3B3B3"/>
          </w:rPr>
          <w:t>4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4EFA" w:rsidRDefault="00024EFA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52B73" w14:textId="77777777" w:rsidR="00024EFA" w:rsidRDefault="00024EFA" w:rsidP="005345A4">
      <w:r>
        <w:separator/>
      </w:r>
    </w:p>
  </w:footnote>
  <w:footnote w:type="continuationSeparator" w:id="0">
    <w:p w14:paraId="290D7D66" w14:textId="77777777" w:rsidR="00024EFA" w:rsidRDefault="00024EFA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87" type="#_x0000_t75" style="width:39.25pt;height:39.25pt;visibility:visible;mso-wrap-style:square" o:bullet="t">
        <v:imagedata r:id="rId1" o:title=""/>
      </v:shape>
    </w:pict>
  </w:numPicBullet>
  <w:numPicBullet w:numPicBulletId="1">
    <w:pict>
      <v:shape id="_x0000_i1688" type="#_x0000_t75" style="width:36.55pt;height:36.55pt;visibility:visible;mso-wrap-style:square" o:bullet="t">
        <v:imagedata r:id="rId2" o:title=""/>
      </v:shape>
    </w:pict>
  </w:numPicBullet>
  <w:numPicBullet w:numPicBulletId="2">
    <w:pict>
      <v:shape id="_x0000_i1689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690" type="#_x0000_t75" style="width:36.55pt;height:36.55pt;visibility:visible;mso-wrap-style:square" o:bullet="t">
        <v:imagedata r:id="rId4" o:title=""/>
      </v:shape>
    </w:pict>
  </w:numPicBullet>
  <w:numPicBullet w:numPicBulletId="4">
    <w:pict>
      <v:shape id="_x0000_i1691" type="#_x0000_t75" style="width:37.1pt;height:36.55pt;visibility:visible;mso-wrap-style:square" o:bullet="t">
        <v:imagedata r:id="rId5" o:title=""/>
      </v:shape>
    </w:pict>
  </w:numPicBullet>
  <w:numPicBullet w:numPicBulletId="5">
    <w:pict>
      <v:shape id="_x0000_i1692" type="#_x0000_t75" style="width:37.1pt;height:36.55pt;visibility:visible;mso-wrap-style:square" o:bullet="t">
        <v:imagedata r:id="rId6" o:title=""/>
      </v:shape>
    </w:pict>
  </w:numPicBullet>
  <w:numPicBullet w:numPicBulletId="6">
    <w:pict>
      <v:shape id="_x0000_i1693" type="#_x0000_t75" style="width:37.1pt;height:36.55pt;visibility:visible;mso-wrap-style:square" o:bullet="t">
        <v:imagedata r:id="rId7" o:title=""/>
      </v:shape>
    </w:pict>
  </w:numPicBullet>
  <w:numPicBullet w:numPicBulletId="7">
    <w:pict>
      <v:shape id="_x0000_i1694" type="#_x0000_t75" style="width:37.1pt;height:37.1pt;visibility:visible;mso-wrap-style:square" o:bullet="t">
        <v:imagedata r:id="rId8" o:title=""/>
      </v:shape>
    </w:pict>
  </w:numPicBullet>
  <w:numPicBullet w:numPicBulletId="8">
    <w:pict>
      <v:shape id="_x0000_i1695" type="#_x0000_t75" style="width:37.1pt;height:37.1pt;visibility:visible;mso-wrap-style:square" o:bullet="t">
        <v:imagedata r:id="rId9" o:title=""/>
      </v:shape>
    </w:pict>
  </w:numPicBullet>
  <w:numPicBullet w:numPicBulletId="9">
    <w:pict>
      <v:shape id="_x0000_i1696" type="#_x0000_t75" style="width:37.1pt;height:37.1pt;visibility:visible;mso-wrap-style:square" o:bullet="t">
        <v:imagedata r:id="rId10" o:title=""/>
      </v:shape>
    </w:pict>
  </w:numPicBullet>
  <w:numPicBullet w:numPicBulletId="10">
    <w:pict>
      <v:shape id="_x0000_i1697" type="#_x0000_t75" style="width:37.65pt;height:37.1pt;visibility:visible;mso-wrap-style:square" o:bullet="t">
        <v:imagedata r:id="rId11" o:title=""/>
      </v:shape>
    </w:pict>
  </w:numPicBullet>
  <w:numPicBullet w:numPicBulletId="11">
    <w:pict>
      <v:shape id="_x0000_i1698" type="#_x0000_t75" alt="Конверт" style="width:8.75pt;height:8.7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2333"/>
    <w:rsid w:val="00014871"/>
    <w:rsid w:val="00014B2B"/>
    <w:rsid w:val="00015006"/>
    <w:rsid w:val="00015105"/>
    <w:rsid w:val="000161D7"/>
    <w:rsid w:val="00020772"/>
    <w:rsid w:val="00024EFA"/>
    <w:rsid w:val="0002684B"/>
    <w:rsid w:val="000270CF"/>
    <w:rsid w:val="000306D3"/>
    <w:rsid w:val="00033FB7"/>
    <w:rsid w:val="00036C25"/>
    <w:rsid w:val="00036C86"/>
    <w:rsid w:val="00036E1E"/>
    <w:rsid w:val="00041033"/>
    <w:rsid w:val="00041423"/>
    <w:rsid w:val="00041825"/>
    <w:rsid w:val="0004199F"/>
    <w:rsid w:val="00041E05"/>
    <w:rsid w:val="0004406B"/>
    <w:rsid w:val="00045C8C"/>
    <w:rsid w:val="00046E33"/>
    <w:rsid w:val="00050E7F"/>
    <w:rsid w:val="00052CA5"/>
    <w:rsid w:val="0005468B"/>
    <w:rsid w:val="00057E83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11F6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0091"/>
    <w:rsid w:val="00133DF2"/>
    <w:rsid w:val="00134575"/>
    <w:rsid w:val="001347D1"/>
    <w:rsid w:val="00134917"/>
    <w:rsid w:val="001364F0"/>
    <w:rsid w:val="00140C2F"/>
    <w:rsid w:val="00142CC9"/>
    <w:rsid w:val="00143701"/>
    <w:rsid w:val="00145713"/>
    <w:rsid w:val="00150477"/>
    <w:rsid w:val="00150E83"/>
    <w:rsid w:val="00152DB9"/>
    <w:rsid w:val="001552BC"/>
    <w:rsid w:val="001553ED"/>
    <w:rsid w:val="00156C7E"/>
    <w:rsid w:val="00160825"/>
    <w:rsid w:val="00160C03"/>
    <w:rsid w:val="00160EB7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A5588"/>
    <w:rsid w:val="001A6F9B"/>
    <w:rsid w:val="001B01D5"/>
    <w:rsid w:val="001B4503"/>
    <w:rsid w:val="001B6234"/>
    <w:rsid w:val="001B77EB"/>
    <w:rsid w:val="001C0BCF"/>
    <w:rsid w:val="001C3E58"/>
    <w:rsid w:val="001C3EA0"/>
    <w:rsid w:val="001C4563"/>
    <w:rsid w:val="001C58EB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1F7C06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176"/>
    <w:rsid w:val="002204A8"/>
    <w:rsid w:val="0022068C"/>
    <w:rsid w:val="00220CE3"/>
    <w:rsid w:val="00221BA0"/>
    <w:rsid w:val="002230DD"/>
    <w:rsid w:val="00223C08"/>
    <w:rsid w:val="002257BC"/>
    <w:rsid w:val="00233F9C"/>
    <w:rsid w:val="00235186"/>
    <w:rsid w:val="00235412"/>
    <w:rsid w:val="00235B72"/>
    <w:rsid w:val="00237BA1"/>
    <w:rsid w:val="00237D0B"/>
    <w:rsid w:val="002442E9"/>
    <w:rsid w:val="002530AB"/>
    <w:rsid w:val="00254775"/>
    <w:rsid w:val="00256FF8"/>
    <w:rsid w:val="00260148"/>
    <w:rsid w:val="00260BB1"/>
    <w:rsid w:val="00261C81"/>
    <w:rsid w:val="00264E6D"/>
    <w:rsid w:val="00275999"/>
    <w:rsid w:val="002811CB"/>
    <w:rsid w:val="0028317C"/>
    <w:rsid w:val="0028485E"/>
    <w:rsid w:val="00287D35"/>
    <w:rsid w:val="002922A6"/>
    <w:rsid w:val="002922F3"/>
    <w:rsid w:val="0029251B"/>
    <w:rsid w:val="00294482"/>
    <w:rsid w:val="0029511E"/>
    <w:rsid w:val="002A1436"/>
    <w:rsid w:val="002A31AA"/>
    <w:rsid w:val="002A7545"/>
    <w:rsid w:val="002B4A13"/>
    <w:rsid w:val="002B64AA"/>
    <w:rsid w:val="002C18E4"/>
    <w:rsid w:val="002C1EEA"/>
    <w:rsid w:val="002C265E"/>
    <w:rsid w:val="002C3148"/>
    <w:rsid w:val="002C3DE4"/>
    <w:rsid w:val="002C4768"/>
    <w:rsid w:val="002C48B3"/>
    <w:rsid w:val="002C5DB4"/>
    <w:rsid w:val="002C7F1B"/>
    <w:rsid w:val="002D1EBF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51A6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5044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58F6"/>
    <w:rsid w:val="00376865"/>
    <w:rsid w:val="003806B0"/>
    <w:rsid w:val="00380C06"/>
    <w:rsid w:val="00383D12"/>
    <w:rsid w:val="0038519D"/>
    <w:rsid w:val="00386FD7"/>
    <w:rsid w:val="00387D8C"/>
    <w:rsid w:val="00391F28"/>
    <w:rsid w:val="003926D0"/>
    <w:rsid w:val="00392863"/>
    <w:rsid w:val="00396FFC"/>
    <w:rsid w:val="003A3A47"/>
    <w:rsid w:val="003A4AC1"/>
    <w:rsid w:val="003A5546"/>
    <w:rsid w:val="003A7537"/>
    <w:rsid w:val="003B019E"/>
    <w:rsid w:val="003B0FED"/>
    <w:rsid w:val="003B1B8A"/>
    <w:rsid w:val="003B1D10"/>
    <w:rsid w:val="003B2F85"/>
    <w:rsid w:val="003B57DF"/>
    <w:rsid w:val="003B5A6A"/>
    <w:rsid w:val="003B798B"/>
    <w:rsid w:val="003C14B3"/>
    <w:rsid w:val="003C3D99"/>
    <w:rsid w:val="003C50DA"/>
    <w:rsid w:val="003C5577"/>
    <w:rsid w:val="003C6F2B"/>
    <w:rsid w:val="003D03D1"/>
    <w:rsid w:val="003D09E7"/>
    <w:rsid w:val="003D1E35"/>
    <w:rsid w:val="003D200C"/>
    <w:rsid w:val="003D237C"/>
    <w:rsid w:val="003D5C18"/>
    <w:rsid w:val="003E2040"/>
    <w:rsid w:val="003E2F76"/>
    <w:rsid w:val="003E5A8D"/>
    <w:rsid w:val="003E7A35"/>
    <w:rsid w:val="003F219A"/>
    <w:rsid w:val="003F7681"/>
    <w:rsid w:val="00401D3F"/>
    <w:rsid w:val="00403106"/>
    <w:rsid w:val="004047F7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8A1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56DA"/>
    <w:rsid w:val="00446B62"/>
    <w:rsid w:val="004474B5"/>
    <w:rsid w:val="0044794A"/>
    <w:rsid w:val="004479F8"/>
    <w:rsid w:val="004506F4"/>
    <w:rsid w:val="00450A8B"/>
    <w:rsid w:val="00451CF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30D5"/>
    <w:rsid w:val="00474E0F"/>
    <w:rsid w:val="00476523"/>
    <w:rsid w:val="00476F0F"/>
    <w:rsid w:val="00480431"/>
    <w:rsid w:val="0048202E"/>
    <w:rsid w:val="00491221"/>
    <w:rsid w:val="004914A3"/>
    <w:rsid w:val="004952BE"/>
    <w:rsid w:val="0049601C"/>
    <w:rsid w:val="00497D31"/>
    <w:rsid w:val="004A0B62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560A"/>
    <w:rsid w:val="004C0BE4"/>
    <w:rsid w:val="004C104B"/>
    <w:rsid w:val="004C5881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2004B"/>
    <w:rsid w:val="0052077A"/>
    <w:rsid w:val="00521B65"/>
    <w:rsid w:val="005254D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075"/>
    <w:rsid w:val="00554CFD"/>
    <w:rsid w:val="00555BE1"/>
    <w:rsid w:val="0055623D"/>
    <w:rsid w:val="005562DA"/>
    <w:rsid w:val="005578F4"/>
    <w:rsid w:val="0056115F"/>
    <w:rsid w:val="005617E6"/>
    <w:rsid w:val="0056455F"/>
    <w:rsid w:val="005645E0"/>
    <w:rsid w:val="005669D4"/>
    <w:rsid w:val="00571E23"/>
    <w:rsid w:val="005756D8"/>
    <w:rsid w:val="0057725C"/>
    <w:rsid w:val="005805F8"/>
    <w:rsid w:val="00580FB3"/>
    <w:rsid w:val="00584E9D"/>
    <w:rsid w:val="00590EBA"/>
    <w:rsid w:val="0059141F"/>
    <w:rsid w:val="00593E50"/>
    <w:rsid w:val="0059709F"/>
    <w:rsid w:val="00597A77"/>
    <w:rsid w:val="005A2665"/>
    <w:rsid w:val="005A33D3"/>
    <w:rsid w:val="005A5323"/>
    <w:rsid w:val="005A6D2D"/>
    <w:rsid w:val="005A7E9A"/>
    <w:rsid w:val="005B0CA6"/>
    <w:rsid w:val="005B25D2"/>
    <w:rsid w:val="005B38C8"/>
    <w:rsid w:val="005B3906"/>
    <w:rsid w:val="005B50D4"/>
    <w:rsid w:val="005B52F0"/>
    <w:rsid w:val="005B5E7D"/>
    <w:rsid w:val="005C2EC8"/>
    <w:rsid w:val="005C546A"/>
    <w:rsid w:val="005C615B"/>
    <w:rsid w:val="005C6559"/>
    <w:rsid w:val="005D0BEE"/>
    <w:rsid w:val="005D115F"/>
    <w:rsid w:val="005D225C"/>
    <w:rsid w:val="005D34F1"/>
    <w:rsid w:val="005D4CB7"/>
    <w:rsid w:val="005D51F3"/>
    <w:rsid w:val="005E083B"/>
    <w:rsid w:val="005E2930"/>
    <w:rsid w:val="005E33FA"/>
    <w:rsid w:val="005E3E8C"/>
    <w:rsid w:val="005E40CD"/>
    <w:rsid w:val="005E4702"/>
    <w:rsid w:val="005E55FF"/>
    <w:rsid w:val="005E77C4"/>
    <w:rsid w:val="005E7DF3"/>
    <w:rsid w:val="005F3CCA"/>
    <w:rsid w:val="005F59BA"/>
    <w:rsid w:val="00600EC5"/>
    <w:rsid w:val="0060214B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0B9C"/>
    <w:rsid w:val="00633CB7"/>
    <w:rsid w:val="00636A5D"/>
    <w:rsid w:val="006438DC"/>
    <w:rsid w:val="00644AD7"/>
    <w:rsid w:val="00646B22"/>
    <w:rsid w:val="00651839"/>
    <w:rsid w:val="00653544"/>
    <w:rsid w:val="006548A3"/>
    <w:rsid w:val="00656AB2"/>
    <w:rsid w:val="00660EC3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4CDD"/>
    <w:rsid w:val="006C779A"/>
    <w:rsid w:val="006D12D0"/>
    <w:rsid w:val="006D1B8F"/>
    <w:rsid w:val="006D3772"/>
    <w:rsid w:val="006D7347"/>
    <w:rsid w:val="006E032D"/>
    <w:rsid w:val="006E079C"/>
    <w:rsid w:val="006E33AA"/>
    <w:rsid w:val="006E5CDE"/>
    <w:rsid w:val="006E6FE7"/>
    <w:rsid w:val="006F1098"/>
    <w:rsid w:val="006F268F"/>
    <w:rsid w:val="006F5DD5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1F4E"/>
    <w:rsid w:val="00722CA7"/>
    <w:rsid w:val="00722E0A"/>
    <w:rsid w:val="007234E3"/>
    <w:rsid w:val="00725A14"/>
    <w:rsid w:val="00727FBB"/>
    <w:rsid w:val="007313FC"/>
    <w:rsid w:val="007340AA"/>
    <w:rsid w:val="007363A0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33D2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39BA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26F90"/>
    <w:rsid w:val="008337BD"/>
    <w:rsid w:val="00833CA1"/>
    <w:rsid w:val="00837295"/>
    <w:rsid w:val="0083740E"/>
    <w:rsid w:val="00845288"/>
    <w:rsid w:val="00845F0B"/>
    <w:rsid w:val="00846343"/>
    <w:rsid w:val="00846649"/>
    <w:rsid w:val="00846C6B"/>
    <w:rsid w:val="00846C71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357"/>
    <w:rsid w:val="00874D63"/>
    <w:rsid w:val="0087618D"/>
    <w:rsid w:val="00876A6A"/>
    <w:rsid w:val="00881C33"/>
    <w:rsid w:val="00887457"/>
    <w:rsid w:val="008904AB"/>
    <w:rsid w:val="00893415"/>
    <w:rsid w:val="008946DE"/>
    <w:rsid w:val="00894F8C"/>
    <w:rsid w:val="0089635B"/>
    <w:rsid w:val="008966E2"/>
    <w:rsid w:val="0089728C"/>
    <w:rsid w:val="008A20F4"/>
    <w:rsid w:val="008A2160"/>
    <w:rsid w:val="008A4346"/>
    <w:rsid w:val="008B09F8"/>
    <w:rsid w:val="008B197D"/>
    <w:rsid w:val="008B2BAA"/>
    <w:rsid w:val="008B4265"/>
    <w:rsid w:val="008B580D"/>
    <w:rsid w:val="008B7E7B"/>
    <w:rsid w:val="008C24EB"/>
    <w:rsid w:val="008C3EFC"/>
    <w:rsid w:val="008C75DC"/>
    <w:rsid w:val="008D1F4E"/>
    <w:rsid w:val="008D4737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2DA5"/>
    <w:rsid w:val="00936FEA"/>
    <w:rsid w:val="00942DE9"/>
    <w:rsid w:val="00943234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3C94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0807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530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657"/>
    <w:rsid w:val="00A90AF4"/>
    <w:rsid w:val="00A90C36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B6E35"/>
    <w:rsid w:val="00AB7007"/>
    <w:rsid w:val="00AC1363"/>
    <w:rsid w:val="00AC2604"/>
    <w:rsid w:val="00AC38A5"/>
    <w:rsid w:val="00AC4845"/>
    <w:rsid w:val="00AC4CE2"/>
    <w:rsid w:val="00AD3F54"/>
    <w:rsid w:val="00AD5749"/>
    <w:rsid w:val="00AD7A18"/>
    <w:rsid w:val="00AE18BE"/>
    <w:rsid w:val="00AE3AF4"/>
    <w:rsid w:val="00AE5008"/>
    <w:rsid w:val="00AF3101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6C0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10C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69D9"/>
    <w:rsid w:val="00BA70A9"/>
    <w:rsid w:val="00BA75C3"/>
    <w:rsid w:val="00BB2BE8"/>
    <w:rsid w:val="00BB3F8D"/>
    <w:rsid w:val="00BB6E4A"/>
    <w:rsid w:val="00BB6EA4"/>
    <w:rsid w:val="00BC08AA"/>
    <w:rsid w:val="00BC4175"/>
    <w:rsid w:val="00BC5429"/>
    <w:rsid w:val="00BC5DB4"/>
    <w:rsid w:val="00BC6566"/>
    <w:rsid w:val="00BC6881"/>
    <w:rsid w:val="00BC68D5"/>
    <w:rsid w:val="00BE0C4A"/>
    <w:rsid w:val="00BE2083"/>
    <w:rsid w:val="00BE344F"/>
    <w:rsid w:val="00BE47D5"/>
    <w:rsid w:val="00BE7BAC"/>
    <w:rsid w:val="00BE7DA1"/>
    <w:rsid w:val="00BF0B0D"/>
    <w:rsid w:val="00BF40BE"/>
    <w:rsid w:val="00BF6A3B"/>
    <w:rsid w:val="00BF7DA3"/>
    <w:rsid w:val="00C003C3"/>
    <w:rsid w:val="00C02EB6"/>
    <w:rsid w:val="00C03417"/>
    <w:rsid w:val="00C046E7"/>
    <w:rsid w:val="00C04AEE"/>
    <w:rsid w:val="00C0526D"/>
    <w:rsid w:val="00C0529B"/>
    <w:rsid w:val="00C0633A"/>
    <w:rsid w:val="00C10528"/>
    <w:rsid w:val="00C12E3A"/>
    <w:rsid w:val="00C14316"/>
    <w:rsid w:val="00C15C27"/>
    <w:rsid w:val="00C168B5"/>
    <w:rsid w:val="00C172D8"/>
    <w:rsid w:val="00C2005D"/>
    <w:rsid w:val="00C20120"/>
    <w:rsid w:val="00C20812"/>
    <w:rsid w:val="00C25418"/>
    <w:rsid w:val="00C25704"/>
    <w:rsid w:val="00C273F6"/>
    <w:rsid w:val="00C31763"/>
    <w:rsid w:val="00C321E9"/>
    <w:rsid w:val="00C32651"/>
    <w:rsid w:val="00C32BCE"/>
    <w:rsid w:val="00C368D5"/>
    <w:rsid w:val="00C37955"/>
    <w:rsid w:val="00C41878"/>
    <w:rsid w:val="00C439C2"/>
    <w:rsid w:val="00C5231A"/>
    <w:rsid w:val="00C54C99"/>
    <w:rsid w:val="00C5570B"/>
    <w:rsid w:val="00C55F91"/>
    <w:rsid w:val="00C57848"/>
    <w:rsid w:val="00C6243C"/>
    <w:rsid w:val="00C6318A"/>
    <w:rsid w:val="00C6379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0E8C"/>
    <w:rsid w:val="00CB1927"/>
    <w:rsid w:val="00CB432D"/>
    <w:rsid w:val="00CB4D19"/>
    <w:rsid w:val="00CB613E"/>
    <w:rsid w:val="00CB63BB"/>
    <w:rsid w:val="00CB7C2D"/>
    <w:rsid w:val="00CC15F6"/>
    <w:rsid w:val="00CC2AB5"/>
    <w:rsid w:val="00CC4DF0"/>
    <w:rsid w:val="00CC6D88"/>
    <w:rsid w:val="00CC7D42"/>
    <w:rsid w:val="00CD00ED"/>
    <w:rsid w:val="00CD0297"/>
    <w:rsid w:val="00CD75F1"/>
    <w:rsid w:val="00CE0645"/>
    <w:rsid w:val="00CE1237"/>
    <w:rsid w:val="00CE2985"/>
    <w:rsid w:val="00CE2E69"/>
    <w:rsid w:val="00CE3791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5F31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4774"/>
    <w:rsid w:val="00D662EB"/>
    <w:rsid w:val="00D7190A"/>
    <w:rsid w:val="00D71ED1"/>
    <w:rsid w:val="00D72702"/>
    <w:rsid w:val="00D7555B"/>
    <w:rsid w:val="00D75CD6"/>
    <w:rsid w:val="00D75EC3"/>
    <w:rsid w:val="00D80590"/>
    <w:rsid w:val="00D81194"/>
    <w:rsid w:val="00D86D05"/>
    <w:rsid w:val="00D92357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27A7"/>
    <w:rsid w:val="00DC3362"/>
    <w:rsid w:val="00DC4341"/>
    <w:rsid w:val="00DC4A3B"/>
    <w:rsid w:val="00DD0EE9"/>
    <w:rsid w:val="00DD138A"/>
    <w:rsid w:val="00DD1D01"/>
    <w:rsid w:val="00DD373D"/>
    <w:rsid w:val="00DD4E1F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19F6"/>
    <w:rsid w:val="00E02D0D"/>
    <w:rsid w:val="00E052DA"/>
    <w:rsid w:val="00E05B9C"/>
    <w:rsid w:val="00E116C1"/>
    <w:rsid w:val="00E14E06"/>
    <w:rsid w:val="00E14E96"/>
    <w:rsid w:val="00E15577"/>
    <w:rsid w:val="00E20398"/>
    <w:rsid w:val="00E21352"/>
    <w:rsid w:val="00E2356A"/>
    <w:rsid w:val="00E27651"/>
    <w:rsid w:val="00E4217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14B2"/>
    <w:rsid w:val="00E82FAA"/>
    <w:rsid w:val="00E847BB"/>
    <w:rsid w:val="00E85852"/>
    <w:rsid w:val="00E8762A"/>
    <w:rsid w:val="00E90E6A"/>
    <w:rsid w:val="00E91088"/>
    <w:rsid w:val="00E930EE"/>
    <w:rsid w:val="00E93447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38E2"/>
    <w:rsid w:val="00EA4EC7"/>
    <w:rsid w:val="00EA5E05"/>
    <w:rsid w:val="00EB0FB7"/>
    <w:rsid w:val="00EB11F3"/>
    <w:rsid w:val="00EB1754"/>
    <w:rsid w:val="00EB43DF"/>
    <w:rsid w:val="00EB67CE"/>
    <w:rsid w:val="00EC6435"/>
    <w:rsid w:val="00EC6E15"/>
    <w:rsid w:val="00ED2550"/>
    <w:rsid w:val="00ED3347"/>
    <w:rsid w:val="00ED4F53"/>
    <w:rsid w:val="00ED544B"/>
    <w:rsid w:val="00ED5771"/>
    <w:rsid w:val="00ED5CBF"/>
    <w:rsid w:val="00ED63FC"/>
    <w:rsid w:val="00ED7CA8"/>
    <w:rsid w:val="00EE0476"/>
    <w:rsid w:val="00EE7885"/>
    <w:rsid w:val="00EE7FFE"/>
    <w:rsid w:val="00EF31B2"/>
    <w:rsid w:val="00EF390F"/>
    <w:rsid w:val="00EF486E"/>
    <w:rsid w:val="00EF62D0"/>
    <w:rsid w:val="00F0151D"/>
    <w:rsid w:val="00F0215C"/>
    <w:rsid w:val="00F1209A"/>
    <w:rsid w:val="00F1234A"/>
    <w:rsid w:val="00F1374D"/>
    <w:rsid w:val="00F15677"/>
    <w:rsid w:val="00F2025B"/>
    <w:rsid w:val="00F23F14"/>
    <w:rsid w:val="00F2553E"/>
    <w:rsid w:val="00F2656E"/>
    <w:rsid w:val="00F274F3"/>
    <w:rsid w:val="00F27ED1"/>
    <w:rsid w:val="00F30562"/>
    <w:rsid w:val="00F310EE"/>
    <w:rsid w:val="00F31CD8"/>
    <w:rsid w:val="00F362FA"/>
    <w:rsid w:val="00F3665B"/>
    <w:rsid w:val="00F36A35"/>
    <w:rsid w:val="00F370CB"/>
    <w:rsid w:val="00F37365"/>
    <w:rsid w:val="00F4196F"/>
    <w:rsid w:val="00F4433A"/>
    <w:rsid w:val="00F46B32"/>
    <w:rsid w:val="00F502DF"/>
    <w:rsid w:val="00F53C17"/>
    <w:rsid w:val="00F5666F"/>
    <w:rsid w:val="00F57ACB"/>
    <w:rsid w:val="00F63393"/>
    <w:rsid w:val="00F6627F"/>
    <w:rsid w:val="00F7093F"/>
    <w:rsid w:val="00F70D7E"/>
    <w:rsid w:val="00F749DC"/>
    <w:rsid w:val="00F76560"/>
    <w:rsid w:val="00F76C3D"/>
    <w:rsid w:val="00F80225"/>
    <w:rsid w:val="00F80AFF"/>
    <w:rsid w:val="00F80C2B"/>
    <w:rsid w:val="00F8336C"/>
    <w:rsid w:val="00F84519"/>
    <w:rsid w:val="00F84E8B"/>
    <w:rsid w:val="00F85742"/>
    <w:rsid w:val="00F8706B"/>
    <w:rsid w:val="00F937DB"/>
    <w:rsid w:val="00F93AC5"/>
    <w:rsid w:val="00F93CE7"/>
    <w:rsid w:val="00F9438E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4330"/>
    <w:rsid w:val="00FD6173"/>
    <w:rsid w:val="00FE0719"/>
    <w:rsid w:val="00FE2182"/>
    <w:rsid w:val="00FE376F"/>
    <w:rsid w:val="00FE605D"/>
    <w:rsid w:val="00FE799B"/>
    <w:rsid w:val="00FF0370"/>
    <w:rsid w:val="00FF0AFE"/>
    <w:rsid w:val="00FF1F3B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ние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hyperlink" Target="mailto:kous@kyevobl.ukrstat.gov.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https://www.ukrstat.gov.ua/norm_doc/2022/449/449.pdf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zakon.rada.gov.ua/laws/show/2697%D0%B0-20%23n2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chart" Target="charts/chart2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72;&#1085;&#1072;&#1083;&#1110;&#1090;&#1080;&#1082;&#1072;\&#1075;&#1088;&#1072;&#1092;&#1110;&#1082;&#1080;_&#1045;&#1042;-&#1047;&#1058;&#1058;_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72;&#1085;&#1072;&#1083;&#1110;&#1090;&#1080;&#1082;&#1072;\&#1075;&#1088;&#1072;&#1092;&#1110;&#1082;&#1080;_&#1045;&#1042;-&#1047;&#1058;&#1058;_20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981812169312169E-2"/>
          <c:y val="7.0705536997671833E-2"/>
          <c:w val="0.85205390211640208"/>
          <c:h val="0.69219506022876809"/>
        </c:manualLayout>
      </c:layout>
      <c:lineChart>
        <c:grouping val="standard"/>
        <c:varyColors val="0"/>
        <c:ser>
          <c:idx val="0"/>
          <c:order val="0"/>
          <c:tx>
            <c:strRef>
              <c:f>експорт!$A$3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0125330687830689E-2"/>
                  <c:y val="-1.952120659985828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970899470899492E-2"/>
                  <c:y val="-2.909555623038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256613756613715E-2"/>
                  <c:y val="-4.7423828322704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1657554198320826E-2"/>
                  <c:y val="-3.7113547758284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8715021354534236E-2"/>
                  <c:y val="2.6845029239766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788359788359788E-2"/>
                  <c:y val="4.0735904443769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2826619392587424E-2"/>
                  <c:y val="4.0177875243664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171957671957751E-2"/>
                  <c:y val="-4.2825184735297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08559172877468E-2"/>
                  <c:y val="3.92231968810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1862748662007888E-2"/>
                  <c:y val="-4.123489278752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859407291492195E-2"/>
                  <c:y val="4.636695906432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035850340575178E-2"/>
                  <c:y val="-3.50458089668615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експорт!$B$3:$M$3</c:f>
              <c:numCache>
                <c:formatCode>0.0</c:formatCode>
                <c:ptCount val="12"/>
                <c:pt idx="0">
                  <c:v>103.9</c:v>
                </c:pt>
                <c:pt idx="1">
                  <c:v>114.3</c:v>
                </c:pt>
                <c:pt idx="2">
                  <c:v>107.2</c:v>
                </c:pt>
                <c:pt idx="3">
                  <c:v>108.5</c:v>
                </c:pt>
                <c:pt idx="4">
                  <c:v>100.9</c:v>
                </c:pt>
                <c:pt idx="5">
                  <c:v>97.4</c:v>
                </c:pt>
                <c:pt idx="6">
                  <c:v>103.7</c:v>
                </c:pt>
                <c:pt idx="7">
                  <c:v>104.1</c:v>
                </c:pt>
                <c:pt idx="8">
                  <c:v>104.6</c:v>
                </c:pt>
                <c:pt idx="9">
                  <c:v>104.4</c:v>
                </c:pt>
                <c:pt idx="10">
                  <c:v>102.7</c:v>
                </c:pt>
                <c:pt idx="11">
                  <c:v>102.3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05A-674D-97AB-C99D829B6411}"/>
            </c:ext>
          </c:extLst>
        </c:ser>
        <c:ser>
          <c:idx val="1"/>
          <c:order val="1"/>
          <c:tx>
            <c:strRef>
              <c:f>експорт!$A$4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081923542240055E-2"/>
                  <c:y val="-9.334795321637426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705026455026457E-2"/>
                  <c:y val="2.970948476566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4345238095238136E-2"/>
                  <c:y val="-4.2905658467456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0171957671957675E-2"/>
                  <c:y val="3.4308128353072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1698082010582014E-2"/>
                  <c:y val="-4.4337989675068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862748662007964E-2"/>
                  <c:y val="-4.123489278752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285454625139682E-2"/>
                  <c:y val="3.9974658869395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532721479185913E-2"/>
                  <c:y val="3.5059454191033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експорт!$B$4:$M$4</c:f>
              <c:numCache>
                <c:formatCode>0.0</c:formatCode>
                <c:ptCount val="12"/>
                <c:pt idx="0">
                  <c:v>100.4</c:v>
                </c:pt>
                <c:pt idx="1">
                  <c:v>89.7</c:v>
                </c:pt>
                <c:pt idx="2">
                  <c:v>103.7</c:v>
                </c:pt>
                <c:pt idx="3">
                  <c:v>102.8</c:v>
                </c:pt>
                <c:pt idx="4">
                  <c:v>103.9</c:v>
                </c:pt>
                <c:pt idx="5">
                  <c:v>105</c:v>
                </c:pt>
                <c:pt idx="6">
                  <c:v>99.4</c:v>
                </c:pt>
                <c:pt idx="7">
                  <c:v>99.1</c:v>
                </c:pt>
                <c:pt idx="8">
                  <c:v>99.3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605A-674D-97AB-C99D829B641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63720664"/>
        <c:axId val="462468080"/>
      </c:lineChart>
      <c:catAx>
        <c:axId val="463720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62468080"/>
        <c:crosses val="autoZero"/>
        <c:auto val="1"/>
        <c:lblAlgn val="ctr"/>
        <c:lblOffset val="100"/>
        <c:noMultiLvlLbl val="0"/>
      </c:catAx>
      <c:valAx>
        <c:axId val="462468080"/>
        <c:scaling>
          <c:orientation val="minMax"/>
          <c:min val="85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6372066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імпорт!$A$3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3723214285714298E-2"/>
                  <c:y val="-5.3415639929595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9780753968253946E-2"/>
                  <c:y val="-5.0191098818204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1656084656084657E-2"/>
                  <c:y val="-5.3810912748302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4371693121693122E-2"/>
                  <c:y val="-4.2551672114659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085648148148145E-2"/>
                  <c:y val="-4.380437515715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648148148145E-2"/>
                  <c:y val="-4.4990193613276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972192421576701E-2"/>
                  <c:y val="-3.6560428849902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388624338624331E-2"/>
                  <c:y val="-4.4020462852133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371693121693122E-2"/>
                  <c:y val="-4.277845443290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4279100529100533E-2"/>
                  <c:y val="-3.8395130886461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035714285714287E-2"/>
                  <c:y val="-4.083982901684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імпорт!$B$3:$M$3</c:f>
              <c:numCache>
                <c:formatCode>0.0</c:formatCode>
                <c:ptCount val="12"/>
                <c:pt idx="0">
                  <c:v>137.9</c:v>
                </c:pt>
                <c:pt idx="1">
                  <c:v>130.19999999999999</c:v>
                </c:pt>
                <c:pt idx="2">
                  <c:v>120.7</c:v>
                </c:pt>
                <c:pt idx="3">
                  <c:v>125.7</c:v>
                </c:pt>
                <c:pt idx="4">
                  <c:v>123.3</c:v>
                </c:pt>
                <c:pt idx="5">
                  <c:v>120.5</c:v>
                </c:pt>
                <c:pt idx="6">
                  <c:v>120.5</c:v>
                </c:pt>
                <c:pt idx="7">
                  <c:v>117.4</c:v>
                </c:pt>
                <c:pt idx="8">
                  <c:v>115.9</c:v>
                </c:pt>
                <c:pt idx="9">
                  <c:v>115.4</c:v>
                </c:pt>
                <c:pt idx="10">
                  <c:v>116.5</c:v>
                </c:pt>
                <c:pt idx="11">
                  <c:v>117.4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6A7-42B8-870F-76102C02016B}"/>
            </c:ext>
          </c:extLst>
        </c:ser>
        <c:ser>
          <c:idx val="1"/>
          <c:order val="1"/>
          <c:tx>
            <c:strRef>
              <c:f>імпорт!$A$4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0912165195271593E-2"/>
                  <c:y val="-5.9802144249512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096891534391531E-2"/>
                  <c:y val="3.94206688458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3756396827771955E-2"/>
                  <c:y val="-4.123489278752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651785714285675E-2"/>
                  <c:y val="3.5800854915765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F91-7847-8AAF-C242A4CBBBD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8497023809523813E-2"/>
                  <c:y val="-3.7417651496102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972222222222222E-2"/>
                  <c:y val="4.6862459140055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285383597883591E-2"/>
                  <c:y val="-3.1030927835051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171957671957751E-2"/>
                  <c:y val="3.4089011817953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імпорт!$B$4:$M$4</c:f>
              <c:numCache>
                <c:formatCode>0.0</c:formatCode>
                <c:ptCount val="12"/>
                <c:pt idx="0">
                  <c:v>99.4</c:v>
                </c:pt>
                <c:pt idx="1">
                  <c:v>107.1</c:v>
                </c:pt>
                <c:pt idx="2">
                  <c:v>112.9</c:v>
                </c:pt>
                <c:pt idx="3">
                  <c:v>108.5</c:v>
                </c:pt>
                <c:pt idx="4">
                  <c:v>110.8</c:v>
                </c:pt>
                <c:pt idx="5">
                  <c:v>114.6</c:v>
                </c:pt>
                <c:pt idx="6">
                  <c:v>114.6</c:v>
                </c:pt>
                <c:pt idx="7">
                  <c:v>114.6</c:v>
                </c:pt>
                <c:pt idx="8">
                  <c:v>114.6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6A7-42B8-870F-76102C02016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2603952"/>
        <c:axId val="452605128"/>
      </c:lineChart>
      <c:catAx>
        <c:axId val="452603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2605128"/>
        <c:crosses val="autoZero"/>
        <c:auto val="1"/>
        <c:lblAlgn val="ctr"/>
        <c:lblOffset val="100"/>
        <c:noMultiLvlLbl val="0"/>
      </c:catAx>
      <c:valAx>
        <c:axId val="452605128"/>
        <c:scaling>
          <c:orientation val="minMax"/>
          <c:min val="95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260395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D3EA7C-4526-4D8D-B35C-8A84584B0E52}">
  <ds:schemaRefs>
    <ds:schemaRef ds:uri="http://purl.org/dc/elements/1.1/"/>
    <ds:schemaRef ds:uri="http://schemas.microsoft.com/office/2006/metadata/properties"/>
    <ds:schemaRef ds:uri="63581625-5405-4f4c-b8da-aeb7be2e81a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4080eec-b6b4-424a-9077-b67525ac751e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7D6FDA-9CB8-4E62-BEE4-E1FFC4FA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6240</Words>
  <Characters>3557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Наталія</cp:lastModifiedBy>
  <cp:revision>44</cp:revision>
  <dcterms:created xsi:type="dcterms:W3CDTF">2025-11-05T06:23:00Z</dcterms:created>
  <dcterms:modified xsi:type="dcterms:W3CDTF">2025-11-05T11:33:00Z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