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>Кількість зареєстрованих юридичних осіб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922A49">
        <w:rPr>
          <w:rFonts w:ascii="Verdana" w:hAnsi="Verdana"/>
          <w:sz w:val="20"/>
          <w:szCs w:val="20"/>
        </w:rPr>
        <w:t>квітня</w:t>
      </w:r>
      <w:r w:rsidRPr="008E74C0">
        <w:rPr>
          <w:rFonts w:ascii="Verdana" w:hAnsi="Verdana"/>
          <w:sz w:val="20"/>
          <w:szCs w:val="20"/>
        </w:rPr>
        <w:t xml:space="preserve"> 202</w:t>
      </w:r>
      <w:r w:rsidR="00D0568F">
        <w:rPr>
          <w:rFonts w:ascii="Verdana" w:hAnsi="Verdana"/>
          <w:sz w:val="20"/>
          <w:szCs w:val="20"/>
        </w:rPr>
        <w:t>4</w:t>
      </w:r>
      <w:r w:rsidRPr="008E74C0">
        <w:rPr>
          <w:rFonts w:ascii="Verdana" w:hAnsi="Verdana"/>
          <w:sz w:val="20"/>
          <w:szCs w:val="20"/>
        </w:rPr>
        <w:t xml:space="preserve">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Загальна кількість зареєстрованих юридичних осіб,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D0568F" w:rsidRDefault="00922A49" w:rsidP="007040B5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80242</w:t>
            </w:r>
            <w:bookmarkStart w:id="0" w:name="_GoBack"/>
            <w:bookmarkEnd w:id="0"/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>. 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D345B"/>
    <w:rsid w:val="005175A6"/>
    <w:rsid w:val="007040B5"/>
    <w:rsid w:val="00922A49"/>
    <w:rsid w:val="00A576C7"/>
    <w:rsid w:val="00D0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5</cp:revision>
  <dcterms:created xsi:type="dcterms:W3CDTF">2023-07-27T08:35:00Z</dcterms:created>
  <dcterms:modified xsi:type="dcterms:W3CDTF">2024-04-16T08:59:00Z</dcterms:modified>
</cp:coreProperties>
</file>