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AF" w:rsidRPr="00BA1CAF" w:rsidRDefault="00BA1CAF" w:rsidP="00BA1CAF">
      <w:pPr>
        <w:jc w:val="center"/>
        <w:rPr>
          <w:rFonts w:ascii="Verdana" w:hAnsi="Verdana"/>
          <w:b/>
          <w:sz w:val="24"/>
          <w:szCs w:val="24"/>
        </w:rPr>
      </w:pPr>
      <w:r w:rsidRPr="00BA1CAF">
        <w:rPr>
          <w:rFonts w:ascii="Verdana" w:hAnsi="Verdana"/>
          <w:b/>
          <w:sz w:val="24"/>
          <w:szCs w:val="24"/>
          <w:lang w:val="uk-UA"/>
        </w:rPr>
        <w:t>Запаси палива</w:t>
      </w:r>
      <w:r w:rsidRPr="00BA1CAF">
        <w:rPr>
          <w:rFonts w:ascii="Verdana" w:hAnsi="Verdana"/>
          <w:b/>
          <w:sz w:val="24"/>
          <w:szCs w:val="24"/>
        </w:rPr>
        <w:t xml:space="preserve"> </w:t>
      </w:r>
    </w:p>
    <w:p w:rsidR="00BA1CAF" w:rsidRPr="00BA1CAF" w:rsidRDefault="00BA1CAF" w:rsidP="00BA1CAF">
      <w:pPr>
        <w:jc w:val="center"/>
        <w:rPr>
          <w:rFonts w:ascii="Verdana" w:hAnsi="Verdana"/>
          <w:b/>
          <w:sz w:val="24"/>
          <w:szCs w:val="24"/>
        </w:rPr>
      </w:pPr>
      <w:r w:rsidRPr="00BA1CAF">
        <w:rPr>
          <w:rFonts w:ascii="Verdana" w:hAnsi="Verdana"/>
          <w:b/>
          <w:sz w:val="24"/>
          <w:szCs w:val="24"/>
          <w:lang w:val="uk-UA"/>
        </w:rPr>
        <w:t xml:space="preserve">на </w:t>
      </w:r>
      <w:r w:rsidRPr="00BA1CAF">
        <w:rPr>
          <w:rFonts w:ascii="Verdana" w:hAnsi="Verdana"/>
          <w:b/>
          <w:sz w:val="24"/>
          <w:szCs w:val="24"/>
        </w:rPr>
        <w:t xml:space="preserve">1 </w:t>
      </w:r>
      <w:r w:rsidRPr="00BA1CAF">
        <w:rPr>
          <w:rFonts w:ascii="Verdana" w:hAnsi="Verdana"/>
          <w:b/>
          <w:sz w:val="24"/>
          <w:szCs w:val="24"/>
          <w:lang w:val="uk-UA"/>
        </w:rPr>
        <w:t>вересня 2020 року</w:t>
      </w:r>
    </w:p>
    <w:p w:rsidR="00BA1CAF" w:rsidRPr="00BA1CAF" w:rsidRDefault="00BA1CAF" w:rsidP="00BA1CAF">
      <w:pPr>
        <w:tabs>
          <w:tab w:val="left" w:pos="8931"/>
        </w:tabs>
        <w:ind w:right="423"/>
        <w:jc w:val="center"/>
        <w:rPr>
          <w:rFonts w:ascii="Verdana" w:hAnsi="Verdana"/>
          <w:b/>
          <w:sz w:val="24"/>
          <w:szCs w:val="24"/>
        </w:rPr>
      </w:pPr>
    </w:p>
    <w:tbl>
      <w:tblPr>
        <w:tblW w:w="4981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3787"/>
        <w:gridCol w:w="2053"/>
        <w:gridCol w:w="1751"/>
        <w:gridCol w:w="1769"/>
      </w:tblGrid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vMerge w:val="restart"/>
            <w:shd w:val="clear" w:color="auto" w:fill="auto"/>
            <w:vAlign w:val="center"/>
          </w:tcPr>
          <w:p w:rsidR="00BA1CAF" w:rsidRPr="00BA1CAF" w:rsidRDefault="00BA1CAF" w:rsidP="00BA1CAF">
            <w:pPr>
              <w:tabs>
                <w:tab w:val="left" w:pos="8931"/>
              </w:tabs>
              <w:ind w:right="423"/>
              <w:jc w:val="center"/>
              <w:rPr>
                <w:rFonts w:ascii="Verdana" w:hAnsi="Verdana"/>
                <w:b/>
                <w:sz w:val="22"/>
                <w:szCs w:val="22"/>
                <w:lang w:val="uk-UA"/>
              </w:rPr>
            </w:pPr>
          </w:p>
        </w:tc>
        <w:tc>
          <w:tcPr>
            <w:tcW w:w="1099" w:type="pct"/>
            <w:vMerge w:val="restart"/>
            <w:shd w:val="clear" w:color="auto" w:fill="auto"/>
            <w:vAlign w:val="center"/>
          </w:tcPr>
          <w:p w:rsidR="00BA1CAF" w:rsidRPr="00BA1CAF" w:rsidRDefault="00BA1CAF" w:rsidP="00BA1CAF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На 1 вересня 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br/>
              <w:t>2020р</w:t>
            </w:r>
            <w:r w:rsidRPr="00BA1CAF">
              <w:rPr>
                <w:rFonts w:ascii="Verdana" w:hAnsi="Verdana"/>
                <w:sz w:val="22"/>
                <w:szCs w:val="22"/>
                <w:lang w:val="en-US"/>
              </w:rPr>
              <w:t>.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BA1CAF" w:rsidRPr="00BA1CAF" w:rsidRDefault="00BA1CAF" w:rsidP="00BA1CAF">
            <w:pPr>
              <w:jc w:val="center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Приріст, зниження (-)</w:t>
            </w:r>
            <w:r>
              <w:rPr>
                <w:rFonts w:ascii="Verdana" w:hAnsi="Verdana"/>
                <w:sz w:val="22"/>
                <w:szCs w:val="22"/>
                <w:lang w:val="uk-UA"/>
              </w:rPr>
              <w:br/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на 1 вересня 2020р</w:t>
            </w:r>
            <w:r w:rsidRPr="00BA1CAF">
              <w:rPr>
                <w:rFonts w:ascii="Verdana" w:hAnsi="Verdana"/>
                <w:sz w:val="22"/>
                <w:szCs w:val="22"/>
              </w:rPr>
              <w:t>.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 до 1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vMerge/>
            <w:shd w:val="clear" w:color="auto" w:fill="auto"/>
            <w:vAlign w:val="center"/>
          </w:tcPr>
          <w:p w:rsidR="00BA1CAF" w:rsidRPr="00BA1CAF" w:rsidRDefault="00BA1CAF" w:rsidP="00BA1CAF">
            <w:pPr>
              <w:tabs>
                <w:tab w:val="left" w:pos="8931"/>
              </w:tabs>
              <w:ind w:right="423"/>
              <w:jc w:val="center"/>
              <w:rPr>
                <w:rFonts w:ascii="Verdana" w:hAnsi="Verdana"/>
                <w:b/>
                <w:sz w:val="22"/>
                <w:szCs w:val="22"/>
                <w:lang w:val="uk-UA"/>
              </w:rPr>
            </w:pPr>
          </w:p>
        </w:tc>
        <w:tc>
          <w:tcPr>
            <w:tcW w:w="1099" w:type="pct"/>
            <w:vMerge/>
            <w:shd w:val="clear" w:color="auto" w:fill="auto"/>
            <w:vAlign w:val="center"/>
          </w:tcPr>
          <w:p w:rsidR="00BA1CAF" w:rsidRPr="00BA1CAF" w:rsidRDefault="00BA1CAF" w:rsidP="00BA1CAF">
            <w:pPr>
              <w:tabs>
                <w:tab w:val="left" w:pos="8931"/>
              </w:tabs>
              <w:ind w:right="423"/>
              <w:jc w:val="center"/>
              <w:rPr>
                <w:rFonts w:ascii="Verdana" w:hAnsi="Verdana"/>
                <w:b/>
                <w:sz w:val="22"/>
                <w:szCs w:val="22"/>
                <w:lang w:val="uk-UA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BA1CAF" w:rsidRPr="00BA1CAF" w:rsidRDefault="00BA1CAF" w:rsidP="00BA1CAF">
            <w:pPr>
              <w:jc w:val="center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серпня</w:t>
            </w:r>
            <w:r>
              <w:rPr>
                <w:rFonts w:ascii="Verdana" w:hAnsi="Verdana"/>
                <w:sz w:val="22"/>
                <w:szCs w:val="22"/>
                <w:lang w:val="uk-UA"/>
              </w:rPr>
              <w:br/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2020р</w:t>
            </w:r>
            <w:r w:rsidRPr="00BA1CAF">
              <w:rPr>
                <w:rFonts w:ascii="Verdana" w:hAnsi="Verdana"/>
                <w:sz w:val="22"/>
                <w:szCs w:val="22"/>
              </w:rPr>
              <w:t>.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, у %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BA1CAF" w:rsidRPr="00BA1CAF" w:rsidRDefault="00BA1CAF" w:rsidP="00BA1CAF">
            <w:pPr>
              <w:jc w:val="center"/>
              <w:rPr>
                <w:rFonts w:ascii="Verdana" w:hAnsi="Verdana"/>
                <w:b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вересня</w:t>
            </w:r>
            <w:r>
              <w:rPr>
                <w:rFonts w:ascii="Verdana" w:hAnsi="Verdana"/>
                <w:sz w:val="22"/>
                <w:szCs w:val="22"/>
                <w:lang w:val="uk-UA"/>
              </w:rPr>
              <w:br/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2019р., у %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Вугілля кам</w:t>
            </w:r>
            <w:r w:rsidRPr="00BA1CAF">
              <w:rPr>
                <w:rFonts w:ascii="Verdana" w:hAnsi="Verdana"/>
                <w:snapToGrid w:val="0"/>
                <w:color w:val="000000"/>
                <w:sz w:val="22"/>
                <w:szCs w:val="22"/>
                <w:lang w:val="uk-UA"/>
              </w:rPr>
              <w:t>’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яне,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235,4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2,4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503,9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Вугілля буре,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0,6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20,5 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290,4 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Нафта сира, включаючи газовий ко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н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денсат,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Бензин моторний,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8,8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–3,9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8,1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Газойлі</w:t>
            </w:r>
            <w:proofErr w:type="spellEnd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 (паливо дизельне),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20,0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–3,6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9,3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Мазути</w:t>
            </w:r>
            <w:proofErr w:type="spellEnd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 паливні важкі,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10,3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–0,1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70,4</w:t>
            </w:r>
          </w:p>
        </w:tc>
      </w:tr>
      <w:tr w:rsidR="00BA1CAF" w:rsidRPr="00BA1CAF" w:rsidTr="00BA1CAF">
        <w:trPr>
          <w:tblCellSpacing w:w="20" w:type="dxa"/>
          <w:jc w:val="center"/>
        </w:trPr>
        <w:tc>
          <w:tcPr>
            <w:tcW w:w="20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Пропан</w:t>
            </w:r>
            <w:r w:rsidRPr="00BA1CAF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 xml:space="preserve">і бутан скраплені, </w:t>
            </w:r>
            <w:proofErr w:type="spellStart"/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1099" w:type="pct"/>
            <w:shd w:val="clear" w:color="auto" w:fill="auto"/>
            <w:vAlign w:val="bottom"/>
          </w:tcPr>
          <w:p w:rsidR="00BA1CAF" w:rsidRPr="00BA1CAF" w:rsidRDefault="00BA1CAF" w:rsidP="00BA1CAF">
            <w:pPr>
              <w:tabs>
                <w:tab w:val="left" w:pos="8931"/>
              </w:tabs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1,7</w:t>
            </w:r>
          </w:p>
        </w:tc>
        <w:tc>
          <w:tcPr>
            <w:tcW w:w="934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–7,1</w:t>
            </w:r>
          </w:p>
        </w:tc>
        <w:tc>
          <w:tcPr>
            <w:tcW w:w="933" w:type="pct"/>
            <w:shd w:val="clear" w:color="auto" w:fill="auto"/>
            <w:vAlign w:val="bottom"/>
          </w:tcPr>
          <w:p w:rsidR="00BA1CAF" w:rsidRPr="00BA1CAF" w:rsidRDefault="00BA1CAF" w:rsidP="00BA1CAF">
            <w:pPr>
              <w:jc w:val="right"/>
              <w:rPr>
                <w:rFonts w:ascii="Verdana" w:hAnsi="Verdana"/>
                <w:sz w:val="22"/>
                <w:szCs w:val="22"/>
                <w:lang w:val="uk-UA"/>
              </w:rPr>
            </w:pPr>
            <w:r w:rsidRPr="00BA1CAF">
              <w:rPr>
                <w:rFonts w:ascii="Verdana" w:hAnsi="Verdana"/>
                <w:sz w:val="22"/>
                <w:szCs w:val="22"/>
                <w:lang w:val="uk-UA"/>
              </w:rPr>
              <w:t>16,5</w:t>
            </w:r>
          </w:p>
        </w:tc>
      </w:tr>
    </w:tbl>
    <w:p w:rsidR="00BA1CAF" w:rsidRPr="00462BC1" w:rsidRDefault="00BA1CAF" w:rsidP="00BA1CAF">
      <w:pPr>
        <w:rPr>
          <w:sz w:val="12"/>
          <w:szCs w:val="12"/>
          <w:lang w:val="uk-UA"/>
        </w:rPr>
      </w:pPr>
    </w:p>
    <w:p w:rsidR="0048211A" w:rsidRDefault="0048211A"/>
    <w:sectPr w:rsidR="0048211A" w:rsidSect="00BA1CAF">
      <w:footerReference w:type="even" r:id="rId5"/>
      <w:footerReference w:type="default" r:id="rId6"/>
      <w:pgSz w:w="11906" w:h="16838"/>
      <w:pgMar w:top="1276" w:right="1418" w:bottom="1418" w:left="1418" w:header="709" w:footer="709" w:gutter="0"/>
      <w:pgNumType w:start="13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A00" w:rsidRDefault="00BA1CAF" w:rsidP="00C47D6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A6A00" w:rsidRDefault="00BA1CAF" w:rsidP="0030477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A00" w:rsidRDefault="00BA1CAF" w:rsidP="00304770">
    <w:pPr>
      <w:pStyle w:val="a9"/>
      <w:ind w:right="360"/>
      <w:rPr>
        <w:lang w:val="en-US"/>
      </w:rPr>
    </w:pPr>
  </w:p>
  <w:p w:rsidR="003A6A00" w:rsidRPr="007E494E" w:rsidRDefault="00BA1CAF" w:rsidP="00304770">
    <w:pPr>
      <w:pStyle w:val="a9"/>
      <w:ind w:right="360"/>
      <w:rPr>
        <w:lang w:val="en-US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CAF"/>
    <w:rsid w:val="001C49B3"/>
    <w:rsid w:val="001E6945"/>
    <w:rsid w:val="002D2BDC"/>
    <w:rsid w:val="0048211A"/>
    <w:rsid w:val="004A31D0"/>
    <w:rsid w:val="004F0B0F"/>
    <w:rsid w:val="0075425E"/>
    <w:rsid w:val="00BA1CAF"/>
    <w:rsid w:val="00EB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position w:val="22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AF"/>
    <w:rPr>
      <w:position w:val="0"/>
      <w:sz w:val="20"/>
      <w:szCs w:val="20"/>
    </w:rPr>
  </w:style>
  <w:style w:type="paragraph" w:styleId="1">
    <w:name w:val="heading 1"/>
    <w:basedOn w:val="a"/>
    <w:next w:val="a"/>
    <w:link w:val="10"/>
    <w:qFormat/>
    <w:rsid w:val="001E6945"/>
    <w:pPr>
      <w:keepNext/>
      <w:jc w:val="center"/>
      <w:outlineLvl w:val="0"/>
    </w:pPr>
    <w:rPr>
      <w:rFonts w:ascii="Arial Narrow" w:hAnsi="Arial Narrow" w:cs="Arial Narrow"/>
      <w:b/>
      <w:position w:val="22"/>
      <w:sz w:val="24"/>
      <w:szCs w:val="22"/>
      <w:lang w:eastAsia="ar-SA"/>
    </w:rPr>
  </w:style>
  <w:style w:type="paragraph" w:styleId="2">
    <w:name w:val="heading 2"/>
    <w:basedOn w:val="a"/>
    <w:next w:val="a"/>
    <w:link w:val="20"/>
    <w:qFormat/>
    <w:rsid w:val="001E6945"/>
    <w:pPr>
      <w:keepNext/>
      <w:jc w:val="center"/>
      <w:outlineLvl w:val="1"/>
    </w:pPr>
    <w:rPr>
      <w:b/>
      <w:position w:val="22"/>
      <w:sz w:val="28"/>
      <w:szCs w:val="22"/>
      <w:lang w:val="uk-UA" w:eastAsia="ar-SA"/>
    </w:rPr>
  </w:style>
  <w:style w:type="paragraph" w:styleId="3">
    <w:name w:val="heading 3"/>
    <w:basedOn w:val="a"/>
    <w:next w:val="a"/>
    <w:link w:val="30"/>
    <w:qFormat/>
    <w:rsid w:val="001E6945"/>
    <w:pPr>
      <w:keepNext/>
      <w:jc w:val="center"/>
      <w:outlineLvl w:val="2"/>
    </w:pPr>
    <w:rPr>
      <w:b/>
      <w:position w:val="22"/>
      <w:sz w:val="28"/>
      <w:szCs w:val="22"/>
      <w:lang w:val="uk-UA" w:eastAsia="ar-SA"/>
    </w:rPr>
  </w:style>
  <w:style w:type="paragraph" w:styleId="4">
    <w:name w:val="heading 4"/>
    <w:basedOn w:val="a"/>
    <w:next w:val="a"/>
    <w:link w:val="40"/>
    <w:qFormat/>
    <w:rsid w:val="001E6945"/>
    <w:pPr>
      <w:keepNext/>
      <w:jc w:val="both"/>
      <w:outlineLvl w:val="3"/>
    </w:pPr>
    <w:rPr>
      <w:position w:val="22"/>
      <w:sz w:val="28"/>
      <w:szCs w:val="22"/>
      <w:lang w:val="uk-UA" w:eastAsia="ar-SA"/>
    </w:rPr>
  </w:style>
  <w:style w:type="paragraph" w:styleId="5">
    <w:name w:val="heading 5"/>
    <w:basedOn w:val="a"/>
    <w:next w:val="a"/>
    <w:link w:val="50"/>
    <w:qFormat/>
    <w:rsid w:val="001E6945"/>
    <w:pPr>
      <w:keepNext/>
      <w:jc w:val="center"/>
      <w:outlineLvl w:val="4"/>
    </w:pPr>
    <w:rPr>
      <w:b/>
      <w:position w:val="22"/>
      <w:sz w:val="28"/>
      <w:szCs w:val="22"/>
      <w:lang w:val="uk-UA" w:eastAsia="ar-SA"/>
    </w:rPr>
  </w:style>
  <w:style w:type="paragraph" w:styleId="6">
    <w:name w:val="heading 6"/>
    <w:basedOn w:val="a"/>
    <w:next w:val="a"/>
    <w:link w:val="60"/>
    <w:qFormat/>
    <w:rsid w:val="001E6945"/>
    <w:pPr>
      <w:keepNext/>
      <w:jc w:val="center"/>
      <w:outlineLvl w:val="5"/>
    </w:pPr>
    <w:rPr>
      <w:b/>
      <w:position w:val="22"/>
      <w:sz w:val="28"/>
      <w:szCs w:val="22"/>
      <w:lang w:val="uk-UA" w:eastAsia="ar-SA"/>
    </w:rPr>
  </w:style>
  <w:style w:type="paragraph" w:styleId="7">
    <w:name w:val="heading 7"/>
    <w:basedOn w:val="a"/>
    <w:next w:val="a"/>
    <w:link w:val="70"/>
    <w:qFormat/>
    <w:rsid w:val="001E6945"/>
    <w:pPr>
      <w:keepNext/>
      <w:outlineLvl w:val="6"/>
    </w:pPr>
    <w:rPr>
      <w:rFonts w:ascii="Arial Narrow" w:hAnsi="Arial Narrow" w:cs="Arial Narrow"/>
      <w:color w:val="000000"/>
      <w:position w:val="22"/>
      <w:sz w:val="24"/>
      <w:szCs w:val="22"/>
      <w:lang w:val="uk-UA" w:eastAsia="ar-SA"/>
    </w:rPr>
  </w:style>
  <w:style w:type="paragraph" w:styleId="8">
    <w:name w:val="heading 8"/>
    <w:basedOn w:val="a"/>
    <w:next w:val="a"/>
    <w:link w:val="80"/>
    <w:qFormat/>
    <w:rsid w:val="001E6945"/>
    <w:pPr>
      <w:keepNext/>
      <w:outlineLvl w:val="7"/>
    </w:pPr>
    <w:rPr>
      <w:rFonts w:ascii="Arial Narrow" w:hAnsi="Arial Narrow" w:cs="Arial Narrow"/>
      <w:b/>
      <w:position w:val="22"/>
      <w:sz w:val="28"/>
      <w:szCs w:val="22"/>
      <w:lang w:val="uk-UA" w:eastAsia="ar-SA"/>
    </w:rPr>
  </w:style>
  <w:style w:type="paragraph" w:styleId="9">
    <w:name w:val="heading 9"/>
    <w:basedOn w:val="a"/>
    <w:next w:val="a"/>
    <w:link w:val="90"/>
    <w:qFormat/>
    <w:rsid w:val="001E6945"/>
    <w:pPr>
      <w:keepNext/>
      <w:outlineLvl w:val="8"/>
    </w:pPr>
    <w:rPr>
      <w:rFonts w:ascii="Arial Narrow" w:hAnsi="Arial Narrow" w:cs="Arial Narrow"/>
      <w:b/>
      <w:position w:val="22"/>
      <w:sz w:val="22"/>
      <w:szCs w:val="22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945"/>
    <w:rPr>
      <w:rFonts w:ascii="Arial Narrow" w:hAnsi="Arial Narrow" w:cs="Arial Narrow"/>
      <w:b/>
      <w:sz w:val="24"/>
      <w:lang w:eastAsia="ar-SA"/>
    </w:rPr>
  </w:style>
  <w:style w:type="character" w:customStyle="1" w:styleId="20">
    <w:name w:val="Заголовок 2 Знак"/>
    <w:basedOn w:val="a0"/>
    <w:link w:val="2"/>
    <w:rsid w:val="001E6945"/>
    <w:rPr>
      <w:b/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1E6945"/>
    <w:rPr>
      <w:b/>
      <w:sz w:val="28"/>
      <w:lang w:val="uk-UA" w:eastAsia="ar-SA"/>
    </w:rPr>
  </w:style>
  <w:style w:type="character" w:customStyle="1" w:styleId="40">
    <w:name w:val="Заголовок 4 Знак"/>
    <w:basedOn w:val="a0"/>
    <w:link w:val="4"/>
    <w:rsid w:val="001E6945"/>
    <w:rPr>
      <w:sz w:val="28"/>
      <w:lang w:val="uk-UA" w:eastAsia="ar-SA"/>
    </w:rPr>
  </w:style>
  <w:style w:type="character" w:customStyle="1" w:styleId="50">
    <w:name w:val="Заголовок 5 Знак"/>
    <w:basedOn w:val="a0"/>
    <w:link w:val="5"/>
    <w:rsid w:val="001E6945"/>
    <w:rPr>
      <w:b/>
      <w:sz w:val="28"/>
      <w:lang w:val="uk-UA" w:eastAsia="ar-SA"/>
    </w:rPr>
  </w:style>
  <w:style w:type="character" w:customStyle="1" w:styleId="60">
    <w:name w:val="Заголовок 6 Знак"/>
    <w:basedOn w:val="a0"/>
    <w:link w:val="6"/>
    <w:rsid w:val="001E6945"/>
    <w:rPr>
      <w:b/>
      <w:sz w:val="28"/>
      <w:lang w:val="uk-UA" w:eastAsia="ar-SA"/>
    </w:rPr>
  </w:style>
  <w:style w:type="character" w:customStyle="1" w:styleId="70">
    <w:name w:val="Заголовок 7 Знак"/>
    <w:basedOn w:val="a0"/>
    <w:link w:val="7"/>
    <w:rsid w:val="001E6945"/>
    <w:rPr>
      <w:rFonts w:ascii="Arial Narrow" w:hAnsi="Arial Narrow" w:cs="Arial Narrow"/>
      <w:color w:val="000000"/>
      <w:sz w:val="24"/>
      <w:lang w:val="uk-UA" w:eastAsia="ar-SA"/>
    </w:rPr>
  </w:style>
  <w:style w:type="character" w:customStyle="1" w:styleId="80">
    <w:name w:val="Заголовок 8 Знак"/>
    <w:basedOn w:val="a0"/>
    <w:link w:val="8"/>
    <w:rsid w:val="001E6945"/>
    <w:rPr>
      <w:rFonts w:ascii="Arial Narrow" w:hAnsi="Arial Narrow" w:cs="Arial Narrow"/>
      <w:b/>
      <w:sz w:val="28"/>
      <w:lang w:val="uk-UA" w:eastAsia="ar-SA"/>
    </w:rPr>
  </w:style>
  <w:style w:type="character" w:customStyle="1" w:styleId="90">
    <w:name w:val="Заголовок 9 Знак"/>
    <w:basedOn w:val="a0"/>
    <w:link w:val="9"/>
    <w:rsid w:val="001E6945"/>
    <w:rPr>
      <w:rFonts w:ascii="Arial Narrow" w:hAnsi="Arial Narrow" w:cs="Arial Narrow"/>
      <w:b/>
      <w:sz w:val="22"/>
      <w:lang w:val="uk-UA" w:eastAsia="ar-SA"/>
    </w:rPr>
  </w:style>
  <w:style w:type="paragraph" w:styleId="a3">
    <w:name w:val="Title"/>
    <w:basedOn w:val="a"/>
    <w:next w:val="a"/>
    <w:link w:val="a4"/>
    <w:qFormat/>
    <w:rsid w:val="001E6945"/>
    <w:pPr>
      <w:jc w:val="center"/>
    </w:pPr>
    <w:rPr>
      <w:position w:val="22"/>
      <w:sz w:val="28"/>
      <w:szCs w:val="22"/>
      <w:lang w:val="uk-UA" w:eastAsia="ar-SA"/>
    </w:rPr>
  </w:style>
  <w:style w:type="character" w:customStyle="1" w:styleId="a4">
    <w:name w:val="Название Знак"/>
    <w:basedOn w:val="a0"/>
    <w:link w:val="a3"/>
    <w:rsid w:val="001E6945"/>
    <w:rPr>
      <w:sz w:val="28"/>
      <w:lang w:val="uk-UA" w:eastAsia="ar-SA"/>
    </w:rPr>
  </w:style>
  <w:style w:type="paragraph" w:styleId="a5">
    <w:name w:val="Subtitle"/>
    <w:basedOn w:val="a"/>
    <w:next w:val="a6"/>
    <w:link w:val="a7"/>
    <w:qFormat/>
    <w:rsid w:val="001E6945"/>
    <w:pPr>
      <w:keepNext/>
      <w:spacing w:before="240" w:after="120"/>
      <w:jc w:val="center"/>
    </w:pPr>
    <w:rPr>
      <w:rFonts w:ascii="Arial" w:eastAsia="Microsoft YaHei" w:hAnsi="Arial" w:cs="Lucida Sans"/>
      <w:i/>
      <w:iCs/>
      <w:position w:val="22"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1E6945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1E6945"/>
    <w:pPr>
      <w:spacing w:after="120"/>
    </w:pPr>
    <w:rPr>
      <w:position w:val="22"/>
      <w:sz w:val="22"/>
      <w:szCs w:val="22"/>
      <w:lang w:eastAsia="ar-SA"/>
    </w:rPr>
  </w:style>
  <w:style w:type="character" w:customStyle="1" w:styleId="a8">
    <w:name w:val="Основной текст Знак"/>
    <w:basedOn w:val="a0"/>
    <w:link w:val="a6"/>
    <w:uiPriority w:val="99"/>
    <w:semiHidden/>
    <w:rsid w:val="001E6945"/>
    <w:rPr>
      <w:lang w:eastAsia="ar-SA"/>
    </w:rPr>
  </w:style>
  <w:style w:type="paragraph" w:styleId="a9">
    <w:name w:val="footer"/>
    <w:basedOn w:val="a"/>
    <w:link w:val="aa"/>
    <w:rsid w:val="00BA1C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A1CAF"/>
    <w:rPr>
      <w:position w:val="0"/>
      <w:sz w:val="20"/>
      <w:szCs w:val="20"/>
    </w:rPr>
  </w:style>
  <w:style w:type="character" w:styleId="ab">
    <w:name w:val="page number"/>
    <w:basedOn w:val="a0"/>
    <w:rsid w:val="00BA1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>DG Win&amp;Soft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1</cp:revision>
  <dcterms:created xsi:type="dcterms:W3CDTF">2020-09-28T08:37:00Z</dcterms:created>
  <dcterms:modified xsi:type="dcterms:W3CDTF">2020-09-28T08:42:00Z</dcterms:modified>
</cp:coreProperties>
</file>